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052D06" w14:textId="77777777" w:rsidR="00683F3E" w:rsidRPr="00683F3E" w:rsidRDefault="00683F3E" w:rsidP="00683F3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83F3E">
        <w:rPr>
          <w:rFonts w:ascii="Times New Roman" w:eastAsia="Times New Roman" w:hAnsi="Times New Roman" w:cs="Times New Roman"/>
          <w:b/>
          <w:bCs/>
          <w:color w:val="000000"/>
          <w:kern w:val="36"/>
          <w:sz w:val="48"/>
          <w:szCs w:val="48"/>
          <w14:ligatures w14:val="none"/>
        </w:rPr>
        <w:t>Capítulo 18 — Avaliação da Coluna do Paciente Politraumatizado</w:t>
      </w:r>
    </w:p>
    <w:p w14:paraId="749D059C"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Identificação</w:t>
      </w:r>
    </w:p>
    <w:p w14:paraId="46ED27FC" w14:textId="6915B260"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b/>
          <w:bCs/>
          <w:color w:val="000000"/>
          <w:kern w:val="0"/>
          <w14:ligatures w14:val="none"/>
        </w:rPr>
        <w:t>Número do capítulo:</w:t>
      </w:r>
      <w:r w:rsidRPr="00683F3E">
        <w:rPr>
          <w:rFonts w:ascii="Times New Roman" w:eastAsia="Times New Roman" w:hAnsi="Times New Roman" w:cs="Times New Roman"/>
          <w:color w:val="000000"/>
          <w:kern w:val="0"/>
          <w14:ligatures w14:val="none"/>
        </w:rPr>
        <w:t> 18</w:t>
      </w:r>
      <w:r w:rsidRPr="00683F3E">
        <w:rPr>
          <w:rFonts w:ascii="Times New Roman" w:eastAsia="Times New Roman" w:hAnsi="Times New Roman" w:cs="Times New Roman"/>
          <w:color w:val="000000"/>
          <w:kern w:val="0"/>
          <w14:ligatures w14:val="none"/>
        </w:rPr>
        <w:br/>
      </w:r>
      <w:r w:rsidRPr="00683F3E">
        <w:rPr>
          <w:rFonts w:ascii="Times New Roman" w:eastAsia="Times New Roman" w:hAnsi="Times New Roman" w:cs="Times New Roman"/>
          <w:b/>
          <w:bCs/>
          <w:color w:val="000000"/>
          <w:kern w:val="0"/>
          <w14:ligatures w14:val="none"/>
        </w:rPr>
        <w:t>Título completo:</w:t>
      </w:r>
      <w:r w:rsidRPr="00683F3E">
        <w:rPr>
          <w:rFonts w:ascii="Times New Roman" w:eastAsia="Times New Roman" w:hAnsi="Times New Roman" w:cs="Times New Roman"/>
          <w:color w:val="000000"/>
          <w:kern w:val="0"/>
          <w14:ligatures w14:val="none"/>
        </w:rPr>
        <w:t> Avaliação da Coluna do Paciente Politraumatizado</w:t>
      </w:r>
      <w:r w:rsidRPr="00683F3E">
        <w:rPr>
          <w:rFonts w:ascii="Times New Roman" w:eastAsia="Times New Roman" w:hAnsi="Times New Roman" w:cs="Times New Roman"/>
          <w:color w:val="000000"/>
          <w:kern w:val="0"/>
          <w14:ligatures w14:val="none"/>
        </w:rPr>
        <w:br/>
      </w:r>
      <w:r w:rsidRPr="00683F3E">
        <w:rPr>
          <w:rFonts w:ascii="Times New Roman" w:eastAsia="Times New Roman" w:hAnsi="Times New Roman" w:cs="Times New Roman"/>
          <w:b/>
          <w:bCs/>
          <w:color w:val="000000"/>
          <w:kern w:val="0"/>
          <w14:ligatures w14:val="none"/>
        </w:rPr>
        <w:t>Seção do Tratado:</w:t>
      </w:r>
      <w:r w:rsidRPr="00683F3E">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3</w:t>
      </w:r>
      <w:r w:rsidRPr="00683F3E">
        <w:rPr>
          <w:rFonts w:ascii="Times New Roman" w:eastAsia="Times New Roman" w:hAnsi="Times New Roman" w:cs="Times New Roman"/>
          <w:color w:val="000000"/>
          <w:kern w:val="0"/>
          <w14:ligatures w14:val="none"/>
        </w:rPr>
        <w:t>.</w:t>
      </w:r>
    </w:p>
    <w:p w14:paraId="1323C132"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b/>
          <w:bCs/>
          <w:color w:val="000000"/>
          <w:kern w:val="0"/>
          <w14:ligatures w14:val="none"/>
        </w:rPr>
        <w:t>Autores</w:t>
      </w:r>
    </w:p>
    <w:p w14:paraId="5DB75C0D" w14:textId="39F9BCD2" w:rsidR="00683F3E" w:rsidRPr="00683F3E" w:rsidRDefault="00683F3E" w:rsidP="00683F3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 xml:space="preserve">Charbel Jacob Júnior </w:t>
      </w:r>
    </w:p>
    <w:p w14:paraId="5E534419" w14:textId="3CCD9AFB" w:rsidR="00683F3E" w:rsidRPr="00683F3E" w:rsidRDefault="00683F3E" w:rsidP="00683F3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 xml:space="preserve">Igor de Barcellos Zanon </w:t>
      </w:r>
    </w:p>
    <w:p w14:paraId="3B686A12"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133E8041">
          <v:rect id="_x0000_i1035" alt="" style="width:468pt;height:.05pt;mso-width-percent:0;mso-height-percent:0;mso-width-percent:0;mso-height-percent:0" o:hralign="center" o:hrstd="t" o:hr="t" fillcolor="#a0a0a0" stroked="f"/>
        </w:pict>
      </w:r>
    </w:p>
    <w:p w14:paraId="2FB9F91A"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Contexto</w:t>
      </w:r>
    </w:p>
    <w:p w14:paraId="0C9615A4"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 avaliação da coluna no paciente politraumatizado integra o atendimento inicial às ameaças imediatas à vida. A restrição do movimento cervical começa na etapa A do ABCDE do </w:t>
      </w:r>
      <w:r w:rsidRPr="00683F3E">
        <w:rPr>
          <w:rFonts w:ascii="Times New Roman" w:eastAsia="Times New Roman" w:hAnsi="Times New Roman" w:cs="Times New Roman"/>
          <w:i/>
          <w:iCs/>
          <w:color w:val="000000"/>
          <w:kern w:val="0"/>
          <w14:ligatures w14:val="none"/>
        </w:rPr>
        <w:t>Advanced Trauma Life Support</w:t>
      </w:r>
      <w:r w:rsidRPr="00683F3E">
        <w:rPr>
          <w:rFonts w:ascii="Times New Roman" w:eastAsia="Times New Roman" w:hAnsi="Times New Roman" w:cs="Times New Roman"/>
          <w:color w:val="000000"/>
          <w:kern w:val="0"/>
          <w14:ligatures w14:val="none"/>
        </w:rPr>
        <w:t> (ATLS®) e acompanha a manutenção da via aérea, porque lesões não reconhecidas podem piorar com movimentação excessiva. O capítulo destaca que a região cervical concentra 55% das lesões vertebrais e que 10% dos pacientes com fratura cervical apresentam outra fratura não contígua. Além disso, cerca de 5% dos pacientes com lesão vertebral podem iniciar ou agravar sintomas neurológicos após a chegada ao serviço de emergência. A avaliação combina exame clínico e neurológico documentado, regras de decisão para pacientes selecionados, tomografia computadorizada como método de imagem de eleição, ressonância magnética em situações específicas e investigação vascular quando há risco de lesão carotídea ou vertebral. Crianças, pacientes inconscientes e vítimas com múltiplas lesões exigem estratégias próprias.</w:t>
      </w:r>
    </w:p>
    <w:p w14:paraId="74C8FB15"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Objetivo do capítulo</w:t>
      </w:r>
    </w:p>
    <w:p w14:paraId="5D5551E8"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Apresentar uma sequência segura e sistematizada para avaliar a coluna no politrauma, desde o transporte e o ABCDE até a liberação da imobilização. O leitor deverá reconhecer padrões de risco, executar e documentar o exame neurológico, aplicar corretamente a </w:t>
      </w:r>
      <w:r w:rsidRPr="00683F3E">
        <w:rPr>
          <w:rFonts w:ascii="Times New Roman" w:eastAsia="Times New Roman" w:hAnsi="Times New Roman" w:cs="Times New Roman"/>
          <w:i/>
          <w:iCs/>
          <w:color w:val="000000"/>
          <w:kern w:val="0"/>
          <w14:ligatures w14:val="none"/>
        </w:rPr>
        <w:t>Canadian C-Spine Rule</w:t>
      </w:r>
      <w:r w:rsidRPr="00683F3E">
        <w:rPr>
          <w:rFonts w:ascii="Times New Roman" w:eastAsia="Times New Roman" w:hAnsi="Times New Roman" w:cs="Times New Roman"/>
          <w:color w:val="000000"/>
          <w:kern w:val="0"/>
          <w14:ligatures w14:val="none"/>
        </w:rPr>
        <w:t> e o NEXUS, selecionar tomografia computadorizada, ressonância magnética e angiotomografia conforme o cenário e indicar investigação toracolombar ou de toda a coluna quando necessária.</w:t>
      </w:r>
    </w:p>
    <w:p w14:paraId="2D342619"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3C335072">
          <v:rect id="_x0000_i1034" style="width:0;height:1.5pt" o:hralign="center" o:hrstd="t" o:hr="t" fillcolor="#a0a0a0" stroked="f"/>
        </w:pict>
      </w:r>
    </w:p>
    <w:p w14:paraId="44A64760" w14:textId="77777777" w:rsidR="00683F3E" w:rsidRPr="00683F3E" w:rsidRDefault="00683F3E" w:rsidP="00683F3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83F3E">
        <w:rPr>
          <w:rFonts w:ascii="Times New Roman" w:eastAsia="Times New Roman" w:hAnsi="Times New Roman" w:cs="Times New Roman"/>
          <w:b/>
          <w:bCs/>
          <w:color w:val="000000"/>
          <w:kern w:val="36"/>
          <w:sz w:val="48"/>
          <w:szCs w:val="48"/>
          <w14:ligatures w14:val="none"/>
        </w:rPr>
        <w:lastRenderedPageBreak/>
        <w:t>Conteúdo principal</w:t>
      </w:r>
    </w:p>
    <w:p w14:paraId="3A0D13DA"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Prioridade inicial e restrição cervical</w:t>
      </w:r>
    </w:p>
    <w:p w14:paraId="22BF7434"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 avaliação segue o ABCDE do ATLS®. Na etapa A, a manutenção da via aérea é realizada com restrição do movimento cervical por colar rígido e imobilizador de cabeça. Se o colar precisar ser removido para um procedimento de via aérea, um integrante da equipe deve manter estabilização manual em linha. A coluna deve ser considerada potencialmente instável até que a avaliação clínica e por imagem permita sua liberação.</w:t>
      </w:r>
    </w:p>
    <w:p w14:paraId="25D9B8D9"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Risco anatômico e epidemiológico</w:t>
      </w:r>
    </w:p>
    <w:p w14:paraId="2C951B06"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 coluna cervical é a região mais vulnerável por sua mobilidade e exposição. Entre o forame magno e C2, o canal é relativamente estreito e as lesões podem comprometer a inervação frênica. Fraturas de C1, C2 ou C3, subluxações e comprometimento do forame transversário também levantam suspeita de lesão das artérias vertebrais ou carótidas.</w:t>
      </w:r>
    </w:p>
    <w:p w14:paraId="6F3A85E0"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Em crianças com menos de 8 anos, maior laxidade ligamentar, facetas mais planas e corpos vertebrais anteriormente encunhados favorecem padrões distintos de lesão. Entre 8 e 12 anos, a anatomia aproxima-se gradualmente da adulta.</w:t>
      </w:r>
    </w:p>
    <w:p w14:paraId="332ED444"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Exame clínico e neurológico</w:t>
      </w:r>
    </w:p>
    <w:p w14:paraId="26921224"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O exame da coluna aparece nas etapas A, D e E. Na etapa D, avaliam-se os dez grupos motores principais de C5 a S1, sensibilidade ao toque leve e à picada nos dermátomos de C2 a S4–S5, reflexos profundos, sinal de Hoffmann, clônus e avaliação sacral com exame anorretal e reflexo bulbocavernoso.</w:t>
      </w:r>
    </w:p>
    <w:p w14:paraId="4CCEB5F6"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Medicamentos, trauma craniano, dor em outras regiões, intubação e instabilidade cardiorrespiratória podem limitar a confiabilidade. Essas limitações devem ser registradas e o exame repetido. Na etapa E, inspeção e palpação procuram feridas, deformidades, equimoses, dor na linha média e sinais de lesão ligamentar posterior.</w:t>
      </w:r>
    </w:p>
    <w:p w14:paraId="312771C3"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Regras clínicas e imagem cervical</w:t>
      </w:r>
    </w:p>
    <w:p w14:paraId="5144260C"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 </w:t>
      </w:r>
      <w:r w:rsidRPr="00683F3E">
        <w:rPr>
          <w:rFonts w:ascii="Times New Roman" w:eastAsia="Times New Roman" w:hAnsi="Times New Roman" w:cs="Times New Roman"/>
          <w:i/>
          <w:iCs/>
          <w:color w:val="000000"/>
          <w:kern w:val="0"/>
          <w14:ligatures w14:val="none"/>
        </w:rPr>
        <w:t>Canadian C-Spine Rule</w:t>
      </w:r>
      <w:r w:rsidRPr="00683F3E">
        <w:rPr>
          <w:rFonts w:ascii="Times New Roman" w:eastAsia="Times New Roman" w:hAnsi="Times New Roman" w:cs="Times New Roman"/>
          <w:color w:val="000000"/>
          <w:kern w:val="0"/>
          <w14:ligatures w14:val="none"/>
        </w:rPr>
        <w:t> e o NEXUS são ferramentas de triagem para pacientes estáveis e avaliáveis. A regra canadense considera fatores de alto risco, condições de baixo risco que permitem examinar o movimento e a capacidade de girar o pescoço ativamente 45° para ambos os lados. O capítulo ressalta que essas regras não devem ser aplicadas de modo incompleto nem em pacientes cuja intoxicação, alteração de consciência, déficit ou lesões distratoras impeçam avaliação segura.</w:t>
      </w:r>
    </w:p>
    <w:p w14:paraId="3E747CE4"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lastRenderedPageBreak/>
        <w:t>Embora radiografias tenham sido tradicionalmente utilizadas, a tomografia computadorizada (TC) é apresentada como exame de eleição no politrauma por sua maior sensibilidade e rapidez. A ressonância magnética (RM) é indicada diante de déficit neurológico, suspeita discal ou ligamentar, lesão oculta ou discrepância entre a clínica e a TC.</w:t>
      </w:r>
    </w:p>
    <w:p w14:paraId="15E80B33"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Avaliação vascular e toracolombar</w:t>
      </w:r>
    </w:p>
    <w:p w14:paraId="02026B3D"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 angiotomografia é favorecida para pesquisar lesão cerebrovascular contusa em situações de risco, especialmente fraturas cervicais altas, subluxações e envolvimento do forame transversário. Para as regiões torácica e lombossacra, o capítulo indica imagem diante de dor, sensibilidade na linha média, sinais locais, déficit neurológico, fratura cervical, Escala de Coma de Glasgow abaixo de 15, lesão distratora ou intoxicação.</w:t>
      </w:r>
    </w:p>
    <w:p w14:paraId="31D8B01E"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Na suspeita de fratura, a TC é priorizada. No politrauma, deve-se considerar o estudo de toda a coluna devido ao risco de lesões não contíguas.</w:t>
      </w:r>
    </w:p>
    <w:p w14:paraId="60E94824"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O caso clínico final ilustra esse princípio: radiografias incompletas não esclareceram o quadro, enquanto a TC demonstrou fraturas de C1 e C6 e a RM evidenciou rotura do ligamento transverso.</w:t>
      </w:r>
    </w:p>
    <w:p w14:paraId="7081645E"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65996BFC">
          <v:rect id="_x0000_i1033" style="width:0;height:1.5pt" o:hralign="center" o:hrstd="t" o:hr="t" fillcolor="#a0a0a0" stroked="f"/>
        </w:pict>
      </w:r>
    </w:p>
    <w:p w14:paraId="2EF45B71"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Aplicação clínica</w:t>
      </w:r>
    </w:p>
    <w:p w14:paraId="6F64CA1A"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Na prática, o atendimento deve preservar a prioridade vital sem abandonar a proteção neurológica. Durante o transporte e a abordagem da via aérea, mantém-se a restrição cervical. O capítulo recomenda avaliação precoce e retirada da prancha rígida, mantendo a imobilização da coluna quando houver dúvida. Em seguida, o examinador documenta força, sensibilidade, reflexos e função sacral, registrando limitações em pacientes sedados, intubados, intoxicados ou com lesões dolorosas associadas.</w:t>
      </w:r>
    </w:p>
    <w:p w14:paraId="08AA2F4D"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Em pacientes alertas, estáveis e clinicamente confiáveis, a </w:t>
      </w:r>
      <w:r w:rsidRPr="00683F3E">
        <w:rPr>
          <w:rFonts w:ascii="Times New Roman" w:eastAsia="Times New Roman" w:hAnsi="Times New Roman" w:cs="Times New Roman"/>
          <w:i/>
          <w:iCs/>
          <w:color w:val="000000"/>
          <w:kern w:val="0"/>
          <w14:ligatures w14:val="none"/>
        </w:rPr>
        <w:t>Canadian C-Spine Rule</w:t>
      </w:r>
      <w:r w:rsidRPr="00683F3E">
        <w:rPr>
          <w:rFonts w:ascii="Times New Roman" w:eastAsia="Times New Roman" w:hAnsi="Times New Roman" w:cs="Times New Roman"/>
          <w:color w:val="000000"/>
          <w:kern w:val="0"/>
          <w14:ligatures w14:val="none"/>
        </w:rPr>
        <w:t> ou o NEXUS podem orientar a necessidade de imagem e eventual retirada da imobilização. Quando a regra não é aplicável, há dor na linha média, déficit, alteração do estado mental ou mecanismo preocupante, o capítulo favorece TC cervical com reconstruções. A RM é acrescentada quando há déficit não explicado, suspeita ligamentar ou discal ou incompatibilidade clínico-radiológica.</w:t>
      </w:r>
    </w:p>
    <w:p w14:paraId="03E54703"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 investigação não deve terminar na coluna cervical. Fratura cervical, rebaixamento de consciência, dor toracolombar, sinais locais, intoxicação ou lesão distratora justificam imagem toracolombar e, no politrauma, consideração do escaneamento de toda a coluna. Fraturas de C1–C3, subluxações ou comprometimento do forame transversário devem motivar avaliação vascular por angiotomografia. Em qualquer dúvida, a restrição é mantida e o exame deve ser repetido.</w:t>
      </w:r>
    </w:p>
    <w:p w14:paraId="0DE1EDBF"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Mensagem central</w:t>
      </w:r>
    </w:p>
    <w:p w14:paraId="2F6A7FF2"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lastRenderedPageBreak/>
        <w:t>A avaliação segura da coluna no politraumatizado começa com restrição cervical integrada ao ABCDE e prossegue com exame neurológico documentado, regras clínicas aplicadas apenas a pacientes elegíveis e imagem orientada pelo risco. A TC é o método principal; RM e angiotomografia respondem a perguntas neurológicas, ligamentares e vasculares específicas. A possibilidade de lesões não contíguas exige que toda a coluna seja considerada.</w:t>
      </w:r>
    </w:p>
    <w:p w14:paraId="23BB2C4D"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6A595AEF">
          <v:rect id="_x0000_i1032" style="width:0;height:1.5pt" o:hralign="center" o:hrstd="t" o:hr="t" fillcolor="#a0a0a0" stroked="f"/>
        </w:pict>
      </w:r>
    </w:p>
    <w:p w14:paraId="5E9F4117"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Por que este capítulo importa</w:t>
      </w:r>
    </w:p>
    <w:p w14:paraId="1E90F543"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No politrauma, a lesão da coluna pode estar inicialmente silenciosa, ser mascarada por intoxicação, trauma craniano ou dor em outras regiões e ainda piorar durante transporte, intubação ou mobilização. Este capítulo mostra como reduzir essas falhas por meio de uma sequência única: proteger a coluna desde a via aérea, obter uma linha de base neurológica, aplicar regras clínicas somente quando válidas e selecionar TC, RM ou angiotomografia conforme a pergunta. Também reforça que uma fratura identificada não encerra a busca, porque outra lesão pode existir em segmento não contíguo.</w:t>
      </w:r>
    </w:p>
    <w:p w14:paraId="3A1DC004"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1B04E7DA">
          <v:rect id="_x0000_i1031" style="width:0;height:1.5pt" o:hralign="center" o:hrstd="t" o:hr="t" fillcolor="#a0a0a0" stroked="f"/>
        </w:pict>
      </w:r>
    </w:p>
    <w:p w14:paraId="225C2788"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Palavras-chave e descritores</w:t>
      </w:r>
    </w:p>
    <w:p w14:paraId="44654A39" w14:textId="77777777" w:rsidR="00683F3E" w:rsidRPr="00683F3E" w:rsidRDefault="00683F3E" w:rsidP="00683F3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83F3E">
        <w:rPr>
          <w:rFonts w:ascii="Times New Roman" w:eastAsia="Times New Roman" w:hAnsi="Times New Roman" w:cs="Times New Roman"/>
          <w:b/>
          <w:bCs/>
          <w:color w:val="000000"/>
          <w:kern w:val="0"/>
          <w:sz w:val="27"/>
          <w:szCs w:val="27"/>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gridCol w:w="3702"/>
      </w:tblGrid>
      <w:tr w:rsidR="00683F3E" w:rsidRPr="00683F3E" w14:paraId="4C794712" w14:textId="77777777">
        <w:trPr>
          <w:tblHeader/>
          <w:tblCellSpacing w:w="15" w:type="dxa"/>
        </w:trPr>
        <w:tc>
          <w:tcPr>
            <w:tcW w:w="0" w:type="auto"/>
            <w:vAlign w:val="center"/>
            <w:hideMark/>
          </w:tcPr>
          <w:p w14:paraId="7CDD40EC" w14:textId="77777777" w:rsidR="00683F3E" w:rsidRPr="00683F3E" w:rsidRDefault="00683F3E" w:rsidP="00683F3E">
            <w:pPr>
              <w:spacing w:after="0" w:line="240" w:lineRule="auto"/>
              <w:jc w:val="center"/>
              <w:rPr>
                <w:rFonts w:ascii="Times New Roman" w:eastAsia="Times New Roman" w:hAnsi="Times New Roman" w:cs="Times New Roman"/>
                <w:b/>
                <w:bCs/>
                <w:color w:val="000000"/>
                <w:kern w:val="0"/>
                <w14:ligatures w14:val="none"/>
              </w:rPr>
            </w:pPr>
            <w:r w:rsidRPr="00683F3E">
              <w:rPr>
                <w:rFonts w:ascii="Times New Roman" w:eastAsia="Times New Roman" w:hAnsi="Times New Roman" w:cs="Times New Roman"/>
                <w:b/>
                <w:bCs/>
                <w:color w:val="000000"/>
                <w:kern w:val="0"/>
                <w14:ligatures w14:val="none"/>
              </w:rPr>
              <w:t>DeCS — português</w:t>
            </w:r>
          </w:p>
        </w:tc>
        <w:tc>
          <w:tcPr>
            <w:tcW w:w="0" w:type="auto"/>
            <w:vAlign w:val="center"/>
            <w:hideMark/>
          </w:tcPr>
          <w:p w14:paraId="4F10A43B" w14:textId="77777777" w:rsidR="00683F3E" w:rsidRPr="00683F3E" w:rsidRDefault="00683F3E" w:rsidP="00683F3E">
            <w:pPr>
              <w:spacing w:after="0" w:line="240" w:lineRule="auto"/>
              <w:jc w:val="center"/>
              <w:rPr>
                <w:rFonts w:ascii="Times New Roman" w:eastAsia="Times New Roman" w:hAnsi="Times New Roman" w:cs="Times New Roman"/>
                <w:b/>
                <w:bCs/>
                <w:color w:val="000000"/>
                <w:kern w:val="0"/>
                <w14:ligatures w14:val="none"/>
              </w:rPr>
            </w:pPr>
            <w:r w:rsidRPr="00683F3E">
              <w:rPr>
                <w:rFonts w:ascii="Times New Roman" w:eastAsia="Times New Roman" w:hAnsi="Times New Roman" w:cs="Times New Roman"/>
                <w:b/>
                <w:bCs/>
                <w:color w:val="000000"/>
                <w:kern w:val="0"/>
                <w14:ligatures w14:val="none"/>
              </w:rPr>
              <w:t>MeSH — inglês</w:t>
            </w:r>
          </w:p>
        </w:tc>
      </w:tr>
      <w:tr w:rsidR="00683F3E" w:rsidRPr="00683F3E" w14:paraId="4283CAD5" w14:textId="77777777">
        <w:trPr>
          <w:tblCellSpacing w:w="15" w:type="dxa"/>
        </w:trPr>
        <w:tc>
          <w:tcPr>
            <w:tcW w:w="0" w:type="auto"/>
            <w:vAlign w:val="center"/>
            <w:hideMark/>
          </w:tcPr>
          <w:p w14:paraId="63A85CFF"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Traumatismo Múltiplo</w:t>
            </w:r>
          </w:p>
        </w:tc>
        <w:tc>
          <w:tcPr>
            <w:tcW w:w="0" w:type="auto"/>
            <w:vAlign w:val="center"/>
            <w:hideMark/>
          </w:tcPr>
          <w:p w14:paraId="4D048C36"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Multiple Trauma</w:t>
            </w:r>
          </w:p>
        </w:tc>
      </w:tr>
      <w:tr w:rsidR="00683F3E" w:rsidRPr="00683F3E" w14:paraId="7B43AFC9" w14:textId="77777777">
        <w:trPr>
          <w:tblCellSpacing w:w="15" w:type="dxa"/>
        </w:trPr>
        <w:tc>
          <w:tcPr>
            <w:tcW w:w="0" w:type="auto"/>
            <w:vAlign w:val="center"/>
            <w:hideMark/>
          </w:tcPr>
          <w:p w14:paraId="550937B4"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Traumatismos da Coluna Vertebral</w:t>
            </w:r>
          </w:p>
        </w:tc>
        <w:tc>
          <w:tcPr>
            <w:tcW w:w="0" w:type="auto"/>
            <w:vAlign w:val="center"/>
            <w:hideMark/>
          </w:tcPr>
          <w:p w14:paraId="5DAAC490"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Spinal Injuries</w:t>
            </w:r>
          </w:p>
        </w:tc>
      </w:tr>
      <w:tr w:rsidR="00683F3E" w:rsidRPr="00683F3E" w14:paraId="6793E357" w14:textId="77777777">
        <w:trPr>
          <w:tblCellSpacing w:w="15" w:type="dxa"/>
        </w:trPr>
        <w:tc>
          <w:tcPr>
            <w:tcW w:w="0" w:type="auto"/>
            <w:vAlign w:val="center"/>
            <w:hideMark/>
          </w:tcPr>
          <w:p w14:paraId="6EBBAC4D"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Traumatismos da Medula Espinal</w:t>
            </w:r>
          </w:p>
        </w:tc>
        <w:tc>
          <w:tcPr>
            <w:tcW w:w="0" w:type="auto"/>
            <w:vAlign w:val="center"/>
            <w:hideMark/>
          </w:tcPr>
          <w:p w14:paraId="30CDF099"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Spinal Cord Injuries</w:t>
            </w:r>
          </w:p>
        </w:tc>
      </w:tr>
      <w:tr w:rsidR="00683F3E" w:rsidRPr="00683F3E" w14:paraId="7F7D7A5D" w14:textId="77777777">
        <w:trPr>
          <w:tblCellSpacing w:w="15" w:type="dxa"/>
        </w:trPr>
        <w:tc>
          <w:tcPr>
            <w:tcW w:w="0" w:type="auto"/>
            <w:vAlign w:val="center"/>
            <w:hideMark/>
          </w:tcPr>
          <w:p w14:paraId="2F855E91"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Exame Neurológico</w:t>
            </w:r>
          </w:p>
        </w:tc>
        <w:tc>
          <w:tcPr>
            <w:tcW w:w="0" w:type="auto"/>
            <w:vAlign w:val="center"/>
            <w:hideMark/>
          </w:tcPr>
          <w:p w14:paraId="2A89B1FA"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Neurologic Examination</w:t>
            </w:r>
          </w:p>
        </w:tc>
      </w:tr>
      <w:tr w:rsidR="00683F3E" w:rsidRPr="00683F3E" w14:paraId="43B3A845" w14:textId="77777777">
        <w:trPr>
          <w:tblCellSpacing w:w="15" w:type="dxa"/>
        </w:trPr>
        <w:tc>
          <w:tcPr>
            <w:tcW w:w="0" w:type="auto"/>
            <w:vAlign w:val="center"/>
            <w:hideMark/>
          </w:tcPr>
          <w:p w14:paraId="0BCC4AFB"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Tomografia Computadorizada por Raios X</w:t>
            </w:r>
          </w:p>
        </w:tc>
        <w:tc>
          <w:tcPr>
            <w:tcW w:w="0" w:type="auto"/>
            <w:vAlign w:val="center"/>
            <w:hideMark/>
          </w:tcPr>
          <w:p w14:paraId="37654923"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Tomography, X-Ray Computed</w:t>
            </w:r>
          </w:p>
        </w:tc>
      </w:tr>
      <w:tr w:rsidR="00683F3E" w:rsidRPr="00683F3E" w14:paraId="57710C5E" w14:textId="77777777">
        <w:trPr>
          <w:tblCellSpacing w:w="15" w:type="dxa"/>
        </w:trPr>
        <w:tc>
          <w:tcPr>
            <w:tcW w:w="0" w:type="auto"/>
            <w:vAlign w:val="center"/>
            <w:hideMark/>
          </w:tcPr>
          <w:p w14:paraId="5E4B2FC3"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Imageamento por Ressonância Magnética</w:t>
            </w:r>
          </w:p>
        </w:tc>
        <w:tc>
          <w:tcPr>
            <w:tcW w:w="0" w:type="auto"/>
            <w:vAlign w:val="center"/>
            <w:hideMark/>
          </w:tcPr>
          <w:p w14:paraId="05743DBC"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Magnetic Resonance Imaging</w:t>
            </w:r>
          </w:p>
        </w:tc>
      </w:tr>
      <w:tr w:rsidR="00683F3E" w:rsidRPr="00683F3E" w14:paraId="7BBE2132" w14:textId="77777777">
        <w:trPr>
          <w:tblCellSpacing w:w="15" w:type="dxa"/>
        </w:trPr>
        <w:tc>
          <w:tcPr>
            <w:tcW w:w="0" w:type="auto"/>
            <w:vAlign w:val="center"/>
            <w:hideMark/>
          </w:tcPr>
          <w:p w14:paraId="26F45F65"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Angiografia por Tomografia Computadorizada</w:t>
            </w:r>
          </w:p>
        </w:tc>
        <w:tc>
          <w:tcPr>
            <w:tcW w:w="0" w:type="auto"/>
            <w:vAlign w:val="center"/>
            <w:hideMark/>
          </w:tcPr>
          <w:p w14:paraId="07FC7917"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Computed Tomography Angiography</w:t>
            </w:r>
          </w:p>
        </w:tc>
      </w:tr>
      <w:tr w:rsidR="00683F3E" w:rsidRPr="00683F3E" w14:paraId="77C2AADD" w14:textId="77777777">
        <w:trPr>
          <w:tblCellSpacing w:w="15" w:type="dxa"/>
        </w:trPr>
        <w:tc>
          <w:tcPr>
            <w:tcW w:w="0" w:type="auto"/>
            <w:vAlign w:val="center"/>
            <w:hideMark/>
          </w:tcPr>
          <w:p w14:paraId="480C840F"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Imobilização</w:t>
            </w:r>
          </w:p>
        </w:tc>
        <w:tc>
          <w:tcPr>
            <w:tcW w:w="0" w:type="auto"/>
            <w:vAlign w:val="center"/>
            <w:hideMark/>
          </w:tcPr>
          <w:p w14:paraId="233307E5" w14:textId="77777777" w:rsidR="00683F3E" w:rsidRPr="00683F3E" w:rsidRDefault="00683F3E" w:rsidP="00683F3E">
            <w:pPr>
              <w:spacing w:after="0"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Immobilization</w:t>
            </w:r>
          </w:p>
        </w:tc>
      </w:tr>
    </w:tbl>
    <w:p w14:paraId="48613B6B" w14:textId="77777777" w:rsidR="00683F3E" w:rsidRPr="00683F3E" w:rsidRDefault="00683F3E" w:rsidP="00683F3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83F3E">
        <w:rPr>
          <w:rFonts w:ascii="Times New Roman" w:eastAsia="Times New Roman" w:hAnsi="Times New Roman" w:cs="Times New Roman"/>
          <w:b/>
          <w:bCs/>
          <w:color w:val="000000"/>
          <w:kern w:val="0"/>
          <w:sz w:val="27"/>
          <w:szCs w:val="27"/>
          <w14:ligatures w14:val="none"/>
        </w:rPr>
        <w:t>Palavras-chave livres adicionais</w:t>
      </w:r>
    </w:p>
    <w:p w14:paraId="55314A24"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b/>
          <w:bCs/>
          <w:color w:val="000000"/>
          <w:kern w:val="0"/>
          <w14:ligatures w14:val="none"/>
        </w:rPr>
        <w:t>ABCDE do trauma; ATLS; restrição do movimento cervical; liberação da coluna cervical; Canadian C-Spine Rule; NEXUS; lesão cerebrovascular contusa; rastreamento de toda a coluna; lesões vertebrais não contíguas.</w:t>
      </w:r>
    </w:p>
    <w:p w14:paraId="25E34BD1"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44528EF6">
          <v:rect id="_x0000_i1030" style="width:0;height:1.5pt" o:hralign="center" o:hrstd="t" o:hr="t" fillcolor="#a0a0a0" stroked="f"/>
        </w:pict>
      </w:r>
    </w:p>
    <w:p w14:paraId="1BE05FAE" w14:textId="77777777" w:rsidR="00683F3E" w:rsidRPr="00683F3E" w:rsidRDefault="00683F3E" w:rsidP="00683F3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83F3E">
        <w:rPr>
          <w:rFonts w:ascii="Times New Roman" w:eastAsia="Times New Roman" w:hAnsi="Times New Roman" w:cs="Times New Roman"/>
          <w:b/>
          <w:bCs/>
          <w:color w:val="000000"/>
          <w:kern w:val="36"/>
          <w:sz w:val="48"/>
          <w:szCs w:val="48"/>
          <w14:ligatures w14:val="none"/>
        </w:rPr>
        <w:lastRenderedPageBreak/>
        <w:t>Três cards de destaque</w:t>
      </w:r>
    </w:p>
    <w:p w14:paraId="09C34605"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Card 1 — Conceito essencial</w:t>
      </w:r>
    </w:p>
    <w:p w14:paraId="2361DCF3" w14:textId="77777777" w:rsidR="00683F3E" w:rsidRPr="00683F3E" w:rsidRDefault="00683F3E" w:rsidP="00683F3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83F3E">
        <w:rPr>
          <w:rFonts w:ascii="Times New Roman" w:eastAsia="Times New Roman" w:hAnsi="Times New Roman" w:cs="Times New Roman"/>
          <w:b/>
          <w:bCs/>
          <w:color w:val="000000"/>
          <w:kern w:val="0"/>
          <w:sz w:val="27"/>
          <w:szCs w:val="27"/>
          <w14:ligatures w14:val="none"/>
        </w:rPr>
        <w:t>Proteção começa na via aérea</w:t>
      </w:r>
    </w:p>
    <w:p w14:paraId="7C66136A"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 avaliação da coluna não ocorre depois do ABCDE: ela começa na etapa A. Colar rígido, imobilizador de cabeça e estabilização manual em linha devem acompanhar a abordagem da via aérea. A retirada temporária do colar não significa liberação cervical e exige que outro integrante da equipe mantenha o alinhamento.</w:t>
      </w:r>
    </w:p>
    <w:p w14:paraId="7303D219"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2DB9329A">
          <v:rect id="_x0000_i1029" style="width:0;height:1.5pt" o:hralign="center" o:hrstd="t" o:hr="t" fillcolor="#a0a0a0" stroked="f"/>
        </w:pict>
      </w:r>
    </w:p>
    <w:p w14:paraId="74A00E60"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Card 2 — Decisão clínica</w:t>
      </w:r>
    </w:p>
    <w:p w14:paraId="3B547E79" w14:textId="77777777" w:rsidR="00683F3E" w:rsidRPr="00683F3E" w:rsidRDefault="00683F3E" w:rsidP="00683F3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83F3E">
        <w:rPr>
          <w:rFonts w:ascii="Times New Roman" w:eastAsia="Times New Roman" w:hAnsi="Times New Roman" w:cs="Times New Roman"/>
          <w:b/>
          <w:bCs/>
          <w:color w:val="000000"/>
          <w:kern w:val="0"/>
          <w:sz w:val="27"/>
          <w:szCs w:val="27"/>
          <w14:ligatures w14:val="none"/>
        </w:rPr>
        <w:t>Regra ou imagem?</w:t>
      </w:r>
    </w:p>
    <w:p w14:paraId="3384BCB4"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Regras clínicas são úteis apenas em pacientes alertas, estáveis e confiáveis. Alteração de consciência, intoxicação, dor na linha média, déficit neurológico ou lesão distratora impedem uma liberação puramente clínica. Nesses cenários, o capítulo prioriza TC, reservando RM para suspeita ligamentar, discal ou neurológica não esclarecida.</w:t>
      </w:r>
    </w:p>
    <w:p w14:paraId="06480994"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3DE22007">
          <v:rect id="_x0000_i1028" style="width:0;height:1.5pt" o:hralign="center" o:hrstd="t" o:hr="t" fillcolor="#a0a0a0" stroked="f"/>
        </w:pict>
      </w:r>
    </w:p>
    <w:p w14:paraId="14A4317C" w14:textId="77777777" w:rsidR="00683F3E" w:rsidRPr="00683F3E" w:rsidRDefault="00683F3E" w:rsidP="00683F3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83F3E">
        <w:rPr>
          <w:rFonts w:ascii="Times New Roman" w:eastAsia="Times New Roman" w:hAnsi="Times New Roman" w:cs="Times New Roman"/>
          <w:b/>
          <w:bCs/>
          <w:color w:val="000000"/>
          <w:kern w:val="0"/>
          <w:sz w:val="36"/>
          <w:szCs w:val="36"/>
          <w14:ligatures w14:val="none"/>
        </w:rPr>
        <w:t>Card 3 — Pérola ou alerta</w:t>
      </w:r>
    </w:p>
    <w:p w14:paraId="7A0B16CB" w14:textId="77777777" w:rsidR="00683F3E" w:rsidRPr="00683F3E" w:rsidRDefault="00683F3E" w:rsidP="00683F3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83F3E">
        <w:rPr>
          <w:rFonts w:ascii="Times New Roman" w:eastAsia="Times New Roman" w:hAnsi="Times New Roman" w:cs="Times New Roman"/>
          <w:b/>
          <w:bCs/>
          <w:color w:val="000000"/>
          <w:kern w:val="0"/>
          <w:sz w:val="27"/>
          <w:szCs w:val="27"/>
          <w14:ligatures w14:val="none"/>
        </w:rPr>
        <w:t>Uma fratura pode ocultar outra</w:t>
      </w:r>
    </w:p>
    <w:p w14:paraId="16766528"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 identificação de uma lesão não encerra a avaliação. O capítulo informa que 10% dos pacientes com fratura cervical apresentam outra fratura vertebral não contígua. No politrauma, especialmente diante de fratura cervical, rebaixamento de consciência ou sintomas toracolombares, deve-se considerar o estudo de toda a coluna.</w:t>
      </w:r>
    </w:p>
    <w:p w14:paraId="5713694D"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5ED4F071">
          <v:rect id="_x0000_i1027" style="width:0;height:1.5pt" o:hralign="center" o:hrstd="t" o:hr="t" fillcolor="#a0a0a0" stroked="f"/>
        </w:pict>
      </w:r>
    </w:p>
    <w:p w14:paraId="1EBB8A8A" w14:textId="77777777" w:rsidR="00683F3E" w:rsidRPr="00683F3E" w:rsidRDefault="00683F3E" w:rsidP="00683F3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83F3E">
        <w:rPr>
          <w:rFonts w:ascii="Times New Roman" w:eastAsia="Times New Roman" w:hAnsi="Times New Roman" w:cs="Times New Roman"/>
          <w:b/>
          <w:bCs/>
          <w:color w:val="000000"/>
          <w:kern w:val="36"/>
          <w:sz w:val="48"/>
          <w:szCs w:val="48"/>
          <w14:ligatures w14:val="none"/>
        </w:rPr>
        <w:t>Referências bibliográficas</w:t>
      </w:r>
    </w:p>
    <w:p w14:paraId="76980BAB" w14:textId="77777777" w:rsidR="00683F3E" w:rsidRPr="00683F3E" w:rsidRDefault="00683F3E" w:rsidP="00683F3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American College of Surgeons. Advanced Trauma Life Support® student course manual. 10. ed. Chicago (IL): American College of Surgeons; 2018.</w:t>
      </w:r>
    </w:p>
    <w:p w14:paraId="42049C54" w14:textId="77777777" w:rsidR="00683F3E" w:rsidRPr="00683F3E" w:rsidRDefault="00683F3E" w:rsidP="00683F3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Neal CJ, McCafferty RR, Freedman B, et al. Cervical and thoracolumbar spine injury evaluation, transport, and surgery in the deployed setting. Mil Med. 2018;183:83-91.</w:t>
      </w:r>
    </w:p>
    <w:p w14:paraId="45EE0A12" w14:textId="77777777" w:rsidR="00683F3E" w:rsidRPr="00683F3E" w:rsidRDefault="00683F3E" w:rsidP="00683F3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lastRenderedPageBreak/>
        <w:t>Filho TEPDB, Lech O. Exame físico em ortopedia. 3. ed. São Paulo: Sarvier Editora de Livros Médicos.</w:t>
      </w:r>
    </w:p>
    <w:p w14:paraId="58054049" w14:textId="77777777" w:rsidR="00683F3E" w:rsidRPr="00683F3E" w:rsidRDefault="00683F3E" w:rsidP="00683F3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Vaccaro AR, Albert TJ. Physical examination of the spine. 2. ed. Rio de Janeiro: Thieme Publishers Rio de Janeiro, Thieme Publicações Ltda.; 2017.</w:t>
      </w:r>
    </w:p>
    <w:p w14:paraId="5C801200" w14:textId="77777777" w:rsidR="00683F3E" w:rsidRPr="00683F3E" w:rsidRDefault="00683F3E" w:rsidP="00683F3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Guha A. The Canadian C-Spine Rule for radiography in alert and stable trauma patients. Crit Care. 2002;6:1841-1848.</w:t>
      </w:r>
    </w:p>
    <w:p w14:paraId="383F6FE7" w14:textId="77777777" w:rsidR="00683F3E" w:rsidRPr="00683F3E" w:rsidRDefault="00683F3E" w:rsidP="00683F3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Hoffman JR, Wolfson AB, Todd K, et al. Selective cervical spine radiography in blunt trauma: methodology of the National Emergency X-Radiography Utilization Study (NEXUS). Ann Emerg Med. 1998;32:461-469.</w:t>
      </w:r>
    </w:p>
    <w:p w14:paraId="74B4CBF4" w14:textId="77777777" w:rsidR="00683F3E" w:rsidRPr="00683F3E" w:rsidRDefault="00683F3E" w:rsidP="00683F3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Worthington JR, Eisenhauer M a, Cass D, et al. The Canadian C-Spine Rule versus the NEXUS Low-Risk Criteria in Patients with Trauma Ian. N Engl J Med. 2003;349:2510-8.</w:t>
      </w:r>
    </w:p>
    <w:p w14:paraId="57014414" w14:textId="77777777" w:rsidR="00683F3E" w:rsidRPr="00683F3E" w:rsidRDefault="00683F3E" w:rsidP="00683F3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Vazirizadeh-mahabadi M, Yarahmadi M. Canadian C-spine Rule versus NEXUS in screening of clinically important traumatic cervical spine injuries: a systematic review and meta-analysis. Arch Acad Emerg Med. 2023;11:1-8.</w:t>
      </w:r>
    </w:p>
    <w:p w14:paraId="669D9771" w14:textId="77777777" w:rsidR="00683F3E" w:rsidRPr="00683F3E" w:rsidRDefault="00683F3E" w:rsidP="00683F3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color w:val="000000"/>
          <w:kern w:val="0"/>
          <w14:ligatures w14:val="none"/>
        </w:rPr>
        <w:t>Yelamarthy PKK, Chhabra HS, Vaksha V, et al. Radiological protocol in spinal trauma: literature review and Spinal Cord Society position statement. Eur Spine J. 2020;29:1197-1211.</w:t>
      </w:r>
    </w:p>
    <w:p w14:paraId="10B97C78"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412ECEF9">
          <v:rect id="_x0000_i1026" style="width:0;height:1.5pt" o:hralign="center" o:hrstd="t" o:hr="t" fillcolor="#a0a0a0" stroked="f"/>
        </w:pict>
      </w:r>
    </w:p>
    <w:p w14:paraId="36E8C6C2" w14:textId="77777777" w:rsidR="00683F3E" w:rsidRPr="00683F3E" w:rsidRDefault="00683F3E" w:rsidP="00683F3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83F3E">
        <w:rPr>
          <w:rFonts w:ascii="Times New Roman" w:eastAsia="Times New Roman" w:hAnsi="Times New Roman" w:cs="Times New Roman"/>
          <w:b/>
          <w:bCs/>
          <w:color w:val="000000"/>
          <w:kern w:val="36"/>
          <w:sz w:val="48"/>
          <w:szCs w:val="48"/>
          <w14:ligatures w14:val="none"/>
        </w:rPr>
        <w:t>Metadados para publicação</w:t>
      </w:r>
    </w:p>
    <w:p w14:paraId="1B1DDF0A"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b/>
          <w:bCs/>
          <w:color w:val="000000"/>
          <w:kern w:val="0"/>
          <w14:ligatures w14:val="none"/>
        </w:rPr>
        <w:t>Título SEO:</w:t>
      </w:r>
      <w:r w:rsidRPr="00683F3E">
        <w:rPr>
          <w:rFonts w:ascii="Times New Roman" w:eastAsia="Times New Roman" w:hAnsi="Times New Roman" w:cs="Times New Roman"/>
          <w:color w:val="000000"/>
          <w:kern w:val="0"/>
          <w14:ligatures w14:val="none"/>
        </w:rPr>
        <w:t> Avaliação da coluna no paciente politraumatizado</w:t>
      </w:r>
    </w:p>
    <w:p w14:paraId="64023EF3"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b/>
          <w:bCs/>
          <w:color w:val="000000"/>
          <w:kern w:val="0"/>
          <w14:ligatures w14:val="none"/>
        </w:rPr>
        <w:t>Meta descrição:</w:t>
      </w:r>
      <w:r w:rsidRPr="00683F3E">
        <w:rPr>
          <w:rFonts w:ascii="Times New Roman" w:eastAsia="Times New Roman" w:hAnsi="Times New Roman" w:cs="Times New Roman"/>
          <w:color w:val="000000"/>
          <w:kern w:val="0"/>
          <w14:ligatures w14:val="none"/>
        </w:rPr>
        <w:t> Conheça a avaliação segura da coluna no politrauma: ABCDE, restrição cervical, exame neurológico, regras clínicas, TC, RM e investigação vascular.</w:t>
      </w:r>
    </w:p>
    <w:p w14:paraId="4535D295"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b/>
          <w:bCs/>
          <w:color w:val="000000"/>
          <w:kern w:val="0"/>
          <w14:ligatures w14:val="none"/>
        </w:rPr>
        <w:t>Resumo de chamada:</w:t>
      </w:r>
      <w:r w:rsidRPr="00683F3E">
        <w:rPr>
          <w:rFonts w:ascii="Times New Roman" w:eastAsia="Times New Roman" w:hAnsi="Times New Roman" w:cs="Times New Roman"/>
          <w:color w:val="000000"/>
          <w:kern w:val="0"/>
          <w14:ligatures w14:val="none"/>
        </w:rPr>
        <w:t> Abordagem sistemática do politrauma com restrição cervical, exame neurológico, regras clínicas, seleção de TC e RM e rastreamento de lesões vasculares e não contíguas.</w:t>
      </w:r>
    </w:p>
    <w:p w14:paraId="3CDC83F5" w14:textId="77777777"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r w:rsidRPr="00683F3E">
        <w:rPr>
          <w:rFonts w:ascii="Times New Roman" w:eastAsia="Times New Roman" w:hAnsi="Times New Roman" w:cs="Times New Roman"/>
          <w:b/>
          <w:bCs/>
          <w:color w:val="000000"/>
          <w:kern w:val="0"/>
          <w14:ligatures w14:val="none"/>
        </w:rPr>
        <w:t>Sugestão de slug:</w:t>
      </w:r>
      <w:r w:rsidRPr="00683F3E">
        <w:rPr>
          <w:rFonts w:ascii="Times New Roman" w:eastAsia="Times New Roman" w:hAnsi="Times New Roman" w:cs="Times New Roman"/>
          <w:color w:val="000000"/>
          <w:kern w:val="0"/>
          <w14:ligatures w14:val="none"/>
        </w:rPr>
        <w:t> </w:t>
      </w:r>
      <w:r w:rsidRPr="00683F3E">
        <w:rPr>
          <w:rFonts w:ascii="Courier New" w:eastAsia="Times New Roman" w:hAnsi="Courier New" w:cs="Courier New"/>
          <w:color w:val="000000"/>
          <w:kern w:val="0"/>
          <w:sz w:val="20"/>
          <w:szCs w:val="20"/>
          <w14:ligatures w14:val="none"/>
        </w:rPr>
        <w:t>avaliacao-coluna-paciente-politraumatizado</w:t>
      </w:r>
    </w:p>
    <w:p w14:paraId="72BF2212" w14:textId="77777777" w:rsidR="00683F3E" w:rsidRPr="00683F3E" w:rsidRDefault="008C0FB1" w:rsidP="00683F3E">
      <w:pPr>
        <w:spacing w:after="0" w:line="240" w:lineRule="auto"/>
        <w:rPr>
          <w:rFonts w:ascii="Times New Roman" w:eastAsia="Times New Roman" w:hAnsi="Times New Roman" w:cs="Times New Roman"/>
          <w:kern w:val="0"/>
          <w14:ligatures w14:val="none"/>
        </w:rPr>
      </w:pPr>
      <w:r w:rsidRPr="008C0FB1">
        <w:rPr>
          <w:rFonts w:ascii="Times New Roman" w:eastAsia="Times New Roman" w:hAnsi="Times New Roman" w:cs="Times New Roman"/>
          <w:noProof/>
          <w:kern w:val="0"/>
        </w:rPr>
        <w:pict w14:anchorId="32FA1E32">
          <v:rect id="_x0000_i1025" style="width:0;height:1.5pt" o:hralign="center" o:hrstd="t" o:hr="t" fillcolor="#a0a0a0" stroked="f"/>
        </w:pict>
      </w:r>
    </w:p>
    <w:p w14:paraId="319701DB" w14:textId="5B104D79" w:rsidR="00683F3E" w:rsidRPr="00683F3E" w:rsidRDefault="00683F3E" w:rsidP="00683F3E">
      <w:pPr>
        <w:spacing w:before="100" w:beforeAutospacing="1" w:after="100" w:afterAutospacing="1" w:line="240" w:lineRule="auto"/>
        <w:rPr>
          <w:rFonts w:ascii="Times New Roman" w:eastAsia="Times New Roman" w:hAnsi="Times New Roman" w:cs="Times New Roman"/>
          <w:color w:val="000000"/>
          <w:kern w:val="0"/>
          <w14:ligatures w14:val="none"/>
        </w:rPr>
      </w:pPr>
    </w:p>
    <w:sectPr w:rsidR="00683F3E" w:rsidRPr="00683F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97B7F"/>
    <w:multiLevelType w:val="multilevel"/>
    <w:tmpl w:val="F222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5354D"/>
    <w:multiLevelType w:val="multilevel"/>
    <w:tmpl w:val="0DE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D645C"/>
    <w:multiLevelType w:val="multilevel"/>
    <w:tmpl w:val="EF66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58787C"/>
    <w:multiLevelType w:val="multilevel"/>
    <w:tmpl w:val="EB5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05364">
    <w:abstractNumId w:val="3"/>
  </w:num>
  <w:num w:numId="2" w16cid:durableId="1743402908">
    <w:abstractNumId w:val="2"/>
  </w:num>
  <w:num w:numId="3" w16cid:durableId="1383872114">
    <w:abstractNumId w:val="1"/>
  </w:num>
  <w:num w:numId="4" w16cid:durableId="13327604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3E"/>
    <w:rsid w:val="00683F3E"/>
    <w:rsid w:val="006F6E99"/>
    <w:rsid w:val="008C0FB1"/>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5993"/>
  <w15:chartTrackingRefBased/>
  <w15:docId w15:val="{1AB8DB69-16E5-8540-BFC3-446F03ABD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3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3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F3E"/>
    <w:rPr>
      <w:rFonts w:eastAsiaTheme="majorEastAsia" w:cstheme="majorBidi"/>
      <w:color w:val="272727" w:themeColor="text1" w:themeTint="D8"/>
    </w:rPr>
  </w:style>
  <w:style w:type="paragraph" w:styleId="Title">
    <w:name w:val="Title"/>
    <w:basedOn w:val="Normal"/>
    <w:next w:val="Normal"/>
    <w:link w:val="TitleChar"/>
    <w:uiPriority w:val="10"/>
    <w:qFormat/>
    <w:rsid w:val="00683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F3E"/>
    <w:pPr>
      <w:spacing w:before="160"/>
      <w:jc w:val="center"/>
    </w:pPr>
    <w:rPr>
      <w:i/>
      <w:iCs/>
      <w:color w:val="404040" w:themeColor="text1" w:themeTint="BF"/>
    </w:rPr>
  </w:style>
  <w:style w:type="character" w:customStyle="1" w:styleId="QuoteChar">
    <w:name w:val="Quote Char"/>
    <w:basedOn w:val="DefaultParagraphFont"/>
    <w:link w:val="Quote"/>
    <w:uiPriority w:val="29"/>
    <w:rsid w:val="00683F3E"/>
    <w:rPr>
      <w:i/>
      <w:iCs/>
      <w:color w:val="404040" w:themeColor="text1" w:themeTint="BF"/>
    </w:rPr>
  </w:style>
  <w:style w:type="paragraph" w:styleId="ListParagraph">
    <w:name w:val="List Paragraph"/>
    <w:basedOn w:val="Normal"/>
    <w:uiPriority w:val="34"/>
    <w:qFormat/>
    <w:rsid w:val="00683F3E"/>
    <w:pPr>
      <w:ind w:left="720"/>
      <w:contextualSpacing/>
    </w:pPr>
  </w:style>
  <w:style w:type="character" w:styleId="IntenseEmphasis">
    <w:name w:val="Intense Emphasis"/>
    <w:basedOn w:val="DefaultParagraphFont"/>
    <w:uiPriority w:val="21"/>
    <w:qFormat/>
    <w:rsid w:val="00683F3E"/>
    <w:rPr>
      <w:i/>
      <w:iCs/>
      <w:color w:val="0F4761" w:themeColor="accent1" w:themeShade="BF"/>
    </w:rPr>
  </w:style>
  <w:style w:type="paragraph" w:styleId="IntenseQuote">
    <w:name w:val="Intense Quote"/>
    <w:basedOn w:val="Normal"/>
    <w:next w:val="Normal"/>
    <w:link w:val="IntenseQuoteChar"/>
    <w:uiPriority w:val="30"/>
    <w:qFormat/>
    <w:rsid w:val="00683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F3E"/>
    <w:rPr>
      <w:i/>
      <w:iCs/>
      <w:color w:val="0F4761" w:themeColor="accent1" w:themeShade="BF"/>
    </w:rPr>
  </w:style>
  <w:style w:type="character" w:styleId="IntenseReference">
    <w:name w:val="Intense Reference"/>
    <w:basedOn w:val="DefaultParagraphFont"/>
    <w:uiPriority w:val="32"/>
    <w:qFormat/>
    <w:rsid w:val="00683F3E"/>
    <w:rPr>
      <w:b/>
      <w:bCs/>
      <w:smallCaps/>
      <w:color w:val="0F4761" w:themeColor="accent1" w:themeShade="BF"/>
      <w:spacing w:val="5"/>
    </w:rPr>
  </w:style>
  <w:style w:type="paragraph" w:styleId="NormalWeb">
    <w:name w:val="Normal (Web)"/>
    <w:basedOn w:val="Normal"/>
    <w:uiPriority w:val="99"/>
    <w:semiHidden/>
    <w:unhideWhenUsed/>
    <w:rsid w:val="00683F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3F3E"/>
    <w:rPr>
      <w:b/>
      <w:bCs/>
    </w:rPr>
  </w:style>
  <w:style w:type="character" w:customStyle="1" w:styleId="apple-converted-space">
    <w:name w:val="apple-converted-space"/>
    <w:basedOn w:val="DefaultParagraphFont"/>
    <w:rsid w:val="00683F3E"/>
  </w:style>
  <w:style w:type="character" w:styleId="Emphasis">
    <w:name w:val="Emphasis"/>
    <w:basedOn w:val="DefaultParagraphFont"/>
    <w:uiPriority w:val="20"/>
    <w:qFormat/>
    <w:rsid w:val="00683F3E"/>
    <w:rPr>
      <w:i/>
      <w:iCs/>
    </w:rPr>
  </w:style>
  <w:style w:type="character" w:styleId="HTMLCode">
    <w:name w:val="HTML Code"/>
    <w:basedOn w:val="DefaultParagraphFont"/>
    <w:uiPriority w:val="99"/>
    <w:semiHidden/>
    <w:unhideWhenUsed/>
    <w:rsid w:val="00683F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1649</Words>
  <Characters>9865</Characters>
  <Application>Microsoft Office Word</Application>
  <DocSecurity>0</DocSecurity>
  <Lines>189</Lines>
  <Paragraphs>86</Paragraphs>
  <ScaleCrop>false</ScaleCrop>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2026-08-19T17:01:00Z</dcterms:created>
  <dcterms:modified xsi:type="dcterms:W3CDTF">2026-08-19T17:02:00Z</dcterms:modified>
</cp:coreProperties>
</file>