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501DE8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Capítulo 19 — Trauma Raquimedular</w:t>
      </w:r>
    </w:p>
    <w:p w14:paraId="38982925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Identificação</w:t>
      </w:r>
    </w:p>
    <w:p w14:paraId="406F3E71" w14:textId="465DE198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Número do capítulo:</w:t>
      </w: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19</w:t>
      </w: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completo:</w:t>
      </w: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Trauma Raquimedular</w:t>
      </w: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Seção do Tratado:</w:t>
      </w: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6BB5244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Autores</w:t>
      </w:r>
    </w:p>
    <w:p w14:paraId="5B4FACAE" w14:textId="77777777" w:rsidR="007A178E" w:rsidRPr="007A178E" w:rsidRDefault="007A178E" w:rsidP="007A1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Emiliano Neves Vialle</w:t>
      </w:r>
    </w:p>
    <w:p w14:paraId="1AA06EF9" w14:textId="77777777" w:rsidR="007A178E" w:rsidRPr="007A178E" w:rsidRDefault="007A178E" w:rsidP="007A1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Mauricio Zanon</w:t>
      </w:r>
    </w:p>
    <w:p w14:paraId="17CDFF2E" w14:textId="77777777" w:rsidR="007A178E" w:rsidRPr="007A178E" w:rsidRDefault="00A845DD" w:rsidP="007A1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5DD">
        <w:rPr>
          <w:rFonts w:ascii="Times New Roman" w:eastAsia="Times New Roman" w:hAnsi="Times New Roman" w:cs="Times New Roman"/>
          <w:noProof/>
          <w:kern w:val="0"/>
        </w:rPr>
        <w:pict w14:anchorId="11B402C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4C34E71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Contexto</w:t>
      </w:r>
    </w:p>
    <w:p w14:paraId="63A530DF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trauma raquimedular é uma emergência que combina dano neurológico potencialmente permanente, instabilidade vertebral e repercussões sistêmicas desde o momento do impacto. O capítulo descreve uma fisiopatologia bifásica: a agressão mecânica primária produz ruptura tecidual, hemorragia, cisalhamento axonal e isquemia; em seguida, edema, alterações microvasculares, inflamação, excitotoxicidade, desmielinização e apoptose ampliam o dano. Essa progressão torna oxigenação, perfusão, imobilização e avaliação neurológica precoce componentes de neuroproteção. O quadro clínico varia de lesões completas a síndromes incompletas, com padrões centrais, de Brown-Séquard, anteriores, do cone medular ou da cauda equina. Tomografia computadorizada, ressonância magnética, classificação ISNCSCI/AIS e análise da estabilidade orientam o tratamento. O cuidado, entretanto, ultrapassa a descompressão: pneumonia, tromboembolismo venoso, bexiga neurogênica, alterações intestinais, úlceras por pressão, espasticidade e contraturas exigem prevenção e reabilitação desde a fase aguda.</w:t>
      </w:r>
    </w:p>
    <w:p w14:paraId="5350C376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Objetivo do capítulo</w:t>
      </w:r>
    </w:p>
    <w:p w14:paraId="5C6767A6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Apresentar os princípios atuais de avaliação e manejo do trauma raquimedular. Ao final, o leitor deverá compreender a lesão primária e a cascata secundária; executar e documentar o exame segundo os </w:t>
      </w:r>
      <w:r w:rsidRPr="007A178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International Standards for Neurological Classification of Spinal Cord Injury</w:t>
      </w: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(ISNCSCI) e a </w:t>
      </w:r>
      <w:r w:rsidRPr="007A178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ASIA Impairment Scale</w:t>
      </w: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(AIS); reconhecer síndromes incompletas; selecionar exames de imagem; planejar neuroproteção, descompressão e estabilização; e antecipar complicações e necessidades de reabilitação.</w:t>
      </w:r>
    </w:p>
    <w:p w14:paraId="060026B9" w14:textId="77777777" w:rsidR="007A178E" w:rsidRPr="007A178E" w:rsidRDefault="00A845DD" w:rsidP="007A1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5DD">
        <w:rPr>
          <w:rFonts w:ascii="Times New Roman" w:eastAsia="Times New Roman" w:hAnsi="Times New Roman" w:cs="Times New Roman"/>
          <w:noProof/>
          <w:kern w:val="0"/>
        </w:rPr>
        <w:pict w14:anchorId="1776BB28">
          <v:rect id="_x0000_i1033" style="width:0;height:1.5pt" o:hralign="center" o:hrstd="t" o:hr="t" fillcolor="#a0a0a0" stroked="f"/>
        </w:pict>
      </w:r>
    </w:p>
    <w:p w14:paraId="4EDA2B66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Conteúdo principal</w:t>
      </w:r>
    </w:p>
    <w:p w14:paraId="22BFB7A1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Lesão primária e cascata secundária</w:t>
      </w:r>
    </w:p>
    <w:p w14:paraId="2FF47195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impacto inicial provoca cisalhamento e distensão de axônios e vasos, ruptura tecidual, hemorragia e isquemia. A lesão secundária amplia essa agressão por edema, aumento da pressão intersticial, trombose e vasoespasmo da microcirculação, maior permeabilidade da barreira hematoencefálica, produção de radicais livres e peroxidação lipídica. O influxo de sódio e cálcio contribui para edema citotóxico, acidose intracelular e liberação de glutamato, intensificando a excitotoxicidade. Astrócitos, oligodendrócitos e microglia participam da resposta, com astrogliose, desmielinização, inflamação e morte celular.</w:t>
      </w:r>
    </w:p>
    <w:p w14:paraId="4FB62FA7" w14:textId="7032FBC5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Figura 1</w:t>
      </w: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contrasta a medula normal com tecido examinado 48 horas após lesão experimental, mostrando hemorragia, edema, perda neuronal e apagamento dos limites entre as substâncias cinzenta e branca.</w:t>
      </w:r>
    </w:p>
    <w:p w14:paraId="1B4F014C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Avaliação neurológica padronizada</w:t>
      </w:r>
    </w:p>
    <w:p w14:paraId="40F17C1A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exame deve seguir o ISNCSCI sempre que sedação, intoxicação, intubação ou traumatismo cranioencefálico permitirem. Avaliam-se dez músculos-chave de C5 a S1, força de 0 a 5, sensibilidade ao toque leve e à picada em 28 dermátomos e contração anal voluntária. O nível neurológico e a preservação sacral sustentam a classificação AIS de A a E e distinguem lesão completa de incompleta.</w:t>
      </w:r>
    </w:p>
    <w:p w14:paraId="0B32D3D4" w14:textId="0935CE2B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retorno dos reflexos abaixo da lesão, particularmente do reflexo bulbocavernoso, é utilizado pelo capítulo na avaliação do choque raquimedular. A </w:t>
      </w: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Tabela 1, </w:t>
      </w: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resume os padrões da síndrome medular central, de Brown-Séquard, medular anterior, do cone medular e da cauda equina.</w:t>
      </w:r>
    </w:p>
    <w:p w14:paraId="37F53273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Diagnóstico por imagem</w:t>
      </w:r>
    </w:p>
    <w:p w14:paraId="549D35BA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NEXUS e </w:t>
      </w:r>
      <w:r w:rsidRPr="007A178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Canadian C-Spine Rule</w:t>
      </w: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são apresentados como regras clínicas para pacientes conscientes e colaborativos. Dor, déficit sensitivo ou motor e alteração do nível de consciência exigem investigação por imagem. A tomografia computadorizada é o método inicial preferido para identificar lesões ósseas e orientar a avaliação da estabilidade. A ressonância magnética complementa a investigação quando há suspeita ligamentar ou discal, compressão neural ou discrepância entre o exame clínico e a tomografia.</w:t>
      </w:r>
    </w:p>
    <w:p w14:paraId="2E22F325" w14:textId="2365889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Tabela 2</w:t>
      </w: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descreve um protocolo institucional de avaliação por imagem do Hospital Universitário Cajuru.</w:t>
      </w:r>
    </w:p>
    <w:p w14:paraId="0DD68C5D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Neuroproteção, descompressão e estabilização</w:t>
      </w:r>
    </w:p>
    <w:p w14:paraId="7AD38EEB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 manejo começa no local do trauma com imobilização, oxigenação e correção da hipotensão, prosseguindo com cuidados intensivos e exames neurológicos seriados. O tratamento cirúrgico busca descomprimir as estruturas neurais, restaurar o canal e estabilizar os segmentos instáveis. </w:t>
      </w: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 capítulo favorece descompressão precoce, preferencialmente em até 24 horas, e redução precoce das luxações ou subluxações facetárias.</w:t>
      </w:r>
    </w:p>
    <w:p w14:paraId="211EC3FC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Tratamentos adjuvantes, prognóstico e complicações</w:t>
      </w:r>
    </w:p>
    <w:p w14:paraId="345162B4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metilprednisolona em altas doses é apresentada como opção controversa, com eventos adversos mais consistentes que o benefício clínico. Fator estimulador de colônias de granulócitos (G-CSF), minociclina, riluzol, células-tronco mesenquimais e estimulação epidural permanecem investigacionais.</w:t>
      </w:r>
    </w:p>
    <w:p w14:paraId="31446A29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classificação AIS inicial é relacionada ao potencial de recuperação e deve apoiar a comunicação prognóstica. Desde a fase aguda, o plano deve prevenir complicações respiratórias, tromboembólicas, urológicas, gastrointestinais e cutâneas, além de espasticidade e contraturas.</w:t>
      </w:r>
    </w:p>
    <w:p w14:paraId="28A96769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Aplicação clínica</w:t>
      </w:r>
    </w:p>
    <w:p w14:paraId="05F0E9AF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prática, o atendimento deve integrar proteção vital e proteção neural. A via aérea, a oxigenação, a restrição de movimento e a correção da hipotensão precedem a transferência para exames ou centro cirúrgico. O exame ISNCSCI/AIS deve ser realizado assim que o paciente puder colaborar, documentado antes e depois de reduções, posicionamento ou cirurgia e repetido quando sedação, intoxicação ou traumatismo craniano inicialmente limitarem a avaliação.</w:t>
      </w:r>
    </w:p>
    <w:p w14:paraId="06419D71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tomografia computadorizada orienta a identificação das lesões ósseas e da instabilidade. A ressonância magnética ganha prioridade quando existe déficit não explicado, suspeita de lesão ligamentar ou discal ou necessidade de avaliar diretamente a medula e os elementos neurais. A classificação da síndrome incompleta acrescenta informação topográfica, mas não substitui a avaliação segmentar e da preservação sacral.</w:t>
      </w:r>
    </w:p>
    <w:p w14:paraId="1E41BABD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Quando há compressão neural ou instabilidade, o capítulo favorece descompressão e estabilização precoces, com redução tempestiva das luxações facetárias. Metas hemodinâmicas, permanência em terapia intensiva e tratamento farmacológico devem ser individualizados; a metilprednisolona não é apresentada como conduta rotineira, e G-CSF, minociclina, riluzol, células-tronco e estimulação epidural permanecem em investigação. Reabilitação e prevenção de pneumonia, tromboembolismo venoso, disfunção vesical e intestinal, lesões por pressão, espasticidade e contraturas devem começar desde o primeiro dia.</w:t>
      </w:r>
    </w:p>
    <w:p w14:paraId="5AA5B176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Mensagem central</w:t>
      </w:r>
    </w:p>
    <w:p w14:paraId="2195DCAD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trauma raquimedular, parte do dano ocorre no impacto e parte evolui nas horas e nos dias seguintes. Por isso, o resultado depende de reconhecer a lesão, evitar hipóxia e hipotensão, documentar o estado neurológico, identificar compressão e instabilidade e intervir no tempo adequado. A cirurgia é apenas um componente: cuidados intensivos, prevenção de complicações e reabilitação precoce integram o mesmo tratamento.</w:t>
      </w:r>
    </w:p>
    <w:p w14:paraId="0D3FA667" w14:textId="77777777" w:rsidR="007A178E" w:rsidRPr="007A178E" w:rsidRDefault="00A845DD" w:rsidP="007A1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5DD">
        <w:rPr>
          <w:rFonts w:ascii="Times New Roman" w:eastAsia="Times New Roman" w:hAnsi="Times New Roman" w:cs="Times New Roman"/>
          <w:noProof/>
          <w:kern w:val="0"/>
        </w:rPr>
        <w:pict w14:anchorId="256CDC31">
          <v:rect id="_x0000_i1032" style="width:0;height:1.5pt" o:hralign="center" o:hrstd="t" o:hr="t" fillcolor="#a0a0a0" stroked="f"/>
        </w:pict>
      </w:r>
    </w:p>
    <w:p w14:paraId="5DDF70D1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Por que este capítulo importa</w:t>
      </w:r>
    </w:p>
    <w:p w14:paraId="5FF7F2FE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Uma lesão medular aparentemente estável pode piorar por hipóxia, hipotensão, edema, isquemia ou movimentação inadequada. Este capítulo importa porque conecta o atendimento pré-hospitalar, o exame ISNCSCI/AIS, a imagem e a decisão cirúrgica à biologia da lesão secundária. Também mostra que o prognóstico não depende apenas da descompressão: classificação correta, cuidados intensivos, comunicação com a família e prevenção de complicações respiratórias, tromboembólicas, urinárias, intestinais e cutâneas influenciam o percurso funcional desde as primeiras horas.</w:t>
      </w:r>
    </w:p>
    <w:p w14:paraId="4631D7C9" w14:textId="77777777" w:rsidR="007A178E" w:rsidRPr="007A178E" w:rsidRDefault="00A845DD" w:rsidP="007A1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5DD">
        <w:rPr>
          <w:rFonts w:ascii="Times New Roman" w:eastAsia="Times New Roman" w:hAnsi="Times New Roman" w:cs="Times New Roman"/>
          <w:noProof/>
          <w:kern w:val="0"/>
        </w:rPr>
        <w:pict w14:anchorId="1EC3CF77">
          <v:rect id="_x0000_i1031" style="width:0;height:1.5pt" o:hralign="center" o:hrstd="t" o:hr="t" fillcolor="#a0a0a0" stroked="f"/>
        </w:pict>
      </w:r>
    </w:p>
    <w:p w14:paraId="013007E0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Palavras-chave e descritores</w:t>
      </w:r>
    </w:p>
    <w:p w14:paraId="2AAAC54A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3135"/>
      </w:tblGrid>
      <w:tr w:rsidR="007A178E" w:rsidRPr="007A178E" w14:paraId="5744A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F621A" w14:textId="77777777" w:rsidR="007A178E" w:rsidRPr="007A178E" w:rsidRDefault="007A178E" w:rsidP="007A1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A178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DeCS — português</w:t>
            </w:r>
          </w:p>
        </w:tc>
        <w:tc>
          <w:tcPr>
            <w:tcW w:w="0" w:type="auto"/>
            <w:vAlign w:val="center"/>
            <w:hideMark/>
          </w:tcPr>
          <w:p w14:paraId="0A4369F6" w14:textId="77777777" w:rsidR="007A178E" w:rsidRPr="007A178E" w:rsidRDefault="007A178E" w:rsidP="007A1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A178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MeSH — inglês</w:t>
            </w:r>
          </w:p>
        </w:tc>
      </w:tr>
      <w:tr w:rsidR="007A178E" w:rsidRPr="007A178E" w14:paraId="444DE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04CD" w14:textId="77777777" w:rsidR="007A178E" w:rsidRPr="007A178E" w:rsidRDefault="007A178E" w:rsidP="007A17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17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Traumatismos da Medula Espinal</w:t>
            </w:r>
          </w:p>
        </w:tc>
        <w:tc>
          <w:tcPr>
            <w:tcW w:w="0" w:type="auto"/>
            <w:vAlign w:val="center"/>
            <w:hideMark/>
          </w:tcPr>
          <w:p w14:paraId="7F60EC15" w14:textId="77777777" w:rsidR="007A178E" w:rsidRPr="007A178E" w:rsidRDefault="007A178E" w:rsidP="007A17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17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Spinal Cord Injuries</w:t>
            </w:r>
          </w:p>
        </w:tc>
      </w:tr>
      <w:tr w:rsidR="007A178E" w:rsidRPr="007A178E" w14:paraId="3EFD9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DA56" w14:textId="77777777" w:rsidR="007A178E" w:rsidRPr="007A178E" w:rsidRDefault="007A178E" w:rsidP="007A17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17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Traumatismos da Coluna Vertebral</w:t>
            </w:r>
          </w:p>
        </w:tc>
        <w:tc>
          <w:tcPr>
            <w:tcW w:w="0" w:type="auto"/>
            <w:vAlign w:val="center"/>
            <w:hideMark/>
          </w:tcPr>
          <w:p w14:paraId="13C31B5E" w14:textId="77777777" w:rsidR="007A178E" w:rsidRPr="007A178E" w:rsidRDefault="007A178E" w:rsidP="007A17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17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Spinal Injuries</w:t>
            </w:r>
          </w:p>
        </w:tc>
      </w:tr>
      <w:tr w:rsidR="007A178E" w:rsidRPr="007A178E" w14:paraId="631C2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3ABF" w14:textId="77777777" w:rsidR="007A178E" w:rsidRPr="007A178E" w:rsidRDefault="007A178E" w:rsidP="007A17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17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Síndrome Medular Central</w:t>
            </w:r>
          </w:p>
        </w:tc>
        <w:tc>
          <w:tcPr>
            <w:tcW w:w="0" w:type="auto"/>
            <w:vAlign w:val="center"/>
            <w:hideMark/>
          </w:tcPr>
          <w:p w14:paraId="2B4076D9" w14:textId="77777777" w:rsidR="007A178E" w:rsidRPr="007A178E" w:rsidRDefault="007A178E" w:rsidP="007A17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17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Central Cord Syndrome</w:t>
            </w:r>
          </w:p>
        </w:tc>
      </w:tr>
      <w:tr w:rsidR="007A178E" w:rsidRPr="007A178E" w14:paraId="51657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2D27" w14:textId="77777777" w:rsidR="007A178E" w:rsidRPr="007A178E" w:rsidRDefault="007A178E" w:rsidP="007A17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17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Exame Neurológico</w:t>
            </w:r>
          </w:p>
        </w:tc>
        <w:tc>
          <w:tcPr>
            <w:tcW w:w="0" w:type="auto"/>
            <w:vAlign w:val="center"/>
            <w:hideMark/>
          </w:tcPr>
          <w:p w14:paraId="12EE0C95" w14:textId="77777777" w:rsidR="007A178E" w:rsidRPr="007A178E" w:rsidRDefault="007A178E" w:rsidP="007A17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17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Neurologic Examination</w:t>
            </w:r>
          </w:p>
        </w:tc>
      </w:tr>
      <w:tr w:rsidR="007A178E" w:rsidRPr="007A178E" w14:paraId="778AC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5B26" w14:textId="77777777" w:rsidR="007A178E" w:rsidRPr="007A178E" w:rsidRDefault="007A178E" w:rsidP="007A17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17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Cuidados Críticos</w:t>
            </w:r>
          </w:p>
        </w:tc>
        <w:tc>
          <w:tcPr>
            <w:tcW w:w="0" w:type="auto"/>
            <w:vAlign w:val="center"/>
            <w:hideMark/>
          </w:tcPr>
          <w:p w14:paraId="1D5596E6" w14:textId="77777777" w:rsidR="007A178E" w:rsidRPr="007A178E" w:rsidRDefault="007A178E" w:rsidP="007A17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17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Critical Care</w:t>
            </w:r>
          </w:p>
        </w:tc>
      </w:tr>
      <w:tr w:rsidR="007A178E" w:rsidRPr="007A178E" w14:paraId="5828C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1AE5" w14:textId="77777777" w:rsidR="007A178E" w:rsidRPr="007A178E" w:rsidRDefault="007A178E" w:rsidP="007A17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17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Tomografia Computadorizada por Raios X</w:t>
            </w:r>
          </w:p>
        </w:tc>
        <w:tc>
          <w:tcPr>
            <w:tcW w:w="0" w:type="auto"/>
            <w:vAlign w:val="center"/>
            <w:hideMark/>
          </w:tcPr>
          <w:p w14:paraId="56C17EC2" w14:textId="77777777" w:rsidR="007A178E" w:rsidRPr="007A178E" w:rsidRDefault="007A178E" w:rsidP="007A17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17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Tomography, X-Ray Computed</w:t>
            </w:r>
          </w:p>
        </w:tc>
      </w:tr>
      <w:tr w:rsidR="007A178E" w:rsidRPr="007A178E" w14:paraId="49BFD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A454" w14:textId="77777777" w:rsidR="007A178E" w:rsidRPr="007A178E" w:rsidRDefault="007A178E" w:rsidP="007A17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17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Imageamento por Ressonância Magnética</w:t>
            </w:r>
          </w:p>
        </w:tc>
        <w:tc>
          <w:tcPr>
            <w:tcW w:w="0" w:type="auto"/>
            <w:vAlign w:val="center"/>
            <w:hideMark/>
          </w:tcPr>
          <w:p w14:paraId="63CCFAD6" w14:textId="77777777" w:rsidR="007A178E" w:rsidRPr="007A178E" w:rsidRDefault="007A178E" w:rsidP="007A17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17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Magnetic Resonance Imaging</w:t>
            </w:r>
          </w:p>
        </w:tc>
      </w:tr>
      <w:tr w:rsidR="007A178E" w:rsidRPr="007A178E" w14:paraId="0E8AA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9F35" w14:textId="77777777" w:rsidR="007A178E" w:rsidRPr="007A178E" w:rsidRDefault="007A178E" w:rsidP="007A17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17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Reabilitação Neurológica</w:t>
            </w:r>
          </w:p>
        </w:tc>
        <w:tc>
          <w:tcPr>
            <w:tcW w:w="0" w:type="auto"/>
            <w:vAlign w:val="center"/>
            <w:hideMark/>
          </w:tcPr>
          <w:p w14:paraId="2CBA9FA1" w14:textId="77777777" w:rsidR="007A178E" w:rsidRPr="007A178E" w:rsidRDefault="007A178E" w:rsidP="007A17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17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Neurological Rehabilitation</w:t>
            </w:r>
          </w:p>
        </w:tc>
      </w:tr>
    </w:tbl>
    <w:p w14:paraId="365E1184" w14:textId="3D90C30F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1D2D4A3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Palavras-chave livres adicionais</w:t>
      </w:r>
    </w:p>
    <w:p w14:paraId="20344955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Trauma raquimedular; lesão medular traumática; ISNCSCI; classificação AIS; preservação sacral; choque raquimedular; lesão secundária; neuroproteção; descompressão precoce.</w:t>
      </w:r>
    </w:p>
    <w:p w14:paraId="176B4D62" w14:textId="77777777" w:rsidR="007A178E" w:rsidRPr="007A178E" w:rsidRDefault="00A845DD" w:rsidP="007A1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5DD">
        <w:rPr>
          <w:rFonts w:ascii="Times New Roman" w:eastAsia="Times New Roman" w:hAnsi="Times New Roman" w:cs="Times New Roman"/>
          <w:noProof/>
          <w:kern w:val="0"/>
        </w:rPr>
        <w:pict w14:anchorId="12E9311E">
          <v:rect id="_x0000_i1030" style="width:0;height:1.5pt" o:hralign="center" o:hrstd="t" o:hr="t" fillcolor="#a0a0a0" stroked="f"/>
        </w:pict>
      </w:r>
    </w:p>
    <w:p w14:paraId="0A846E37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Três cards de destaque</w:t>
      </w:r>
    </w:p>
    <w:p w14:paraId="1584DDA5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1 — Conceito essencial</w:t>
      </w:r>
    </w:p>
    <w:p w14:paraId="2537B61F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 dano continua após impacto</w:t>
      </w:r>
    </w:p>
    <w:p w14:paraId="6552790F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 impacto mecânico é apenas o início. Edema, vasoespasmo, trombose microvascular, excitotoxicidade e inflamação podem ampliar progressivamente a área lesada. Preservar oxigenação e perfusão, limitar a movimentação e reconhecer compressão tratável são medidas dirigidas à prevenção dessa segunda onda de dano.</w:t>
      </w:r>
    </w:p>
    <w:p w14:paraId="27FB1E53" w14:textId="77777777" w:rsidR="007A178E" w:rsidRPr="007A178E" w:rsidRDefault="00A845DD" w:rsidP="007A1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5DD">
        <w:rPr>
          <w:rFonts w:ascii="Times New Roman" w:eastAsia="Times New Roman" w:hAnsi="Times New Roman" w:cs="Times New Roman"/>
          <w:noProof/>
          <w:kern w:val="0"/>
        </w:rPr>
        <w:pict w14:anchorId="2CF4D0AC">
          <v:rect id="_x0000_i1029" style="width:0;height:1.5pt" o:hralign="center" o:hrstd="t" o:hr="t" fillcolor="#a0a0a0" stroked="f"/>
        </w:pict>
      </w:r>
    </w:p>
    <w:p w14:paraId="67C722E0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2 — Decisão clínica</w:t>
      </w:r>
    </w:p>
    <w:p w14:paraId="5D91EB93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Classifique antes de comparar</w:t>
      </w:r>
    </w:p>
    <w:p w14:paraId="42075E70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exame ISNCSCI/AIS cria a linha de base para prognóstico e comparação. Deve incluir músculos-chave, dermátomos, contração anal voluntária e preservação sacral, sendo repetido após mudanças clínicas ou intervenções. Registrar apenas “sem déficit” perde informação essencial para decisão e auditoria.</w:t>
      </w:r>
    </w:p>
    <w:p w14:paraId="2FBEC814" w14:textId="77777777" w:rsidR="007A178E" w:rsidRPr="007A178E" w:rsidRDefault="00A845DD" w:rsidP="007A1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5DD">
        <w:rPr>
          <w:rFonts w:ascii="Times New Roman" w:eastAsia="Times New Roman" w:hAnsi="Times New Roman" w:cs="Times New Roman"/>
          <w:noProof/>
          <w:kern w:val="0"/>
        </w:rPr>
        <w:pict w14:anchorId="1BE3300F">
          <v:rect id="_x0000_i1028" style="width:0;height:1.5pt" o:hralign="center" o:hrstd="t" o:hr="t" fillcolor="#a0a0a0" stroked="f"/>
        </w:pict>
      </w:r>
    </w:p>
    <w:p w14:paraId="450E757E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3 — Pérola ou alerta</w:t>
      </w:r>
    </w:p>
    <w:p w14:paraId="56BE2E86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Corticoide não é automático</w:t>
      </w:r>
    </w:p>
    <w:p w14:paraId="590BBD05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metilprednisolona em altas doses não é apresentada como rotina. O capítulo a descreve como opção controversa, com risco de infecção, tromboembolismo, complicações gastrointestinais e de ferida. G-CSF, minociclina, riluzol, células-tronco e estimulação epidural também permanecem investigacionais e exigem validação clínica adicional.</w:t>
      </w:r>
    </w:p>
    <w:p w14:paraId="325F49B3" w14:textId="77777777" w:rsidR="007A178E" w:rsidRPr="007A178E" w:rsidRDefault="00A845DD" w:rsidP="007A1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5DD">
        <w:rPr>
          <w:rFonts w:ascii="Times New Roman" w:eastAsia="Times New Roman" w:hAnsi="Times New Roman" w:cs="Times New Roman"/>
          <w:noProof/>
          <w:kern w:val="0"/>
        </w:rPr>
        <w:pict w14:anchorId="33059221">
          <v:rect id="_x0000_i1027" style="width:0;height:1.5pt" o:hralign="center" o:hrstd="t" o:hr="t" fillcolor="#a0a0a0" stroked="f"/>
        </w:pict>
      </w:r>
    </w:p>
    <w:p w14:paraId="0C9B2C8D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Referências bibliográficas</w:t>
      </w:r>
    </w:p>
    <w:p w14:paraId="449A3BF1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Simeonova I, Sandner B, et al. Neural stem cell transplantation for spinal cord repair. In: Fehlings MG, Harrop JS, editors. AOSpine master series. Vol. 10. Stuttgart: Thieme; 2017. p. 111-123. doi:10.1055/b-0036-137999.</w:t>
      </w:r>
    </w:p>
    <w:p w14:paraId="6BFA668A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Bracken MB. Steroids for acute spinal cord injury. Cochrane Database Syst Rev. 2012;(1):CD001046. doi:10.1002/14651858.CD001046.pub2.</w:t>
      </w:r>
    </w:p>
    <w:p w14:paraId="003C9BBF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Schouten R, Albert T, et al. The spine-injured patient: initial assessment and emergency treatment. J Am Acad Orthop Surg. 2012 Jun;20(6):336-46. doi:10.5435/JAAOS-20-06-336. PMID:22661563.</w:t>
      </w:r>
    </w:p>
    <w:p w14:paraId="302F992C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Nouri A, Fehlings MG, et al. The timing of management of spinal cord injuries. In: Browner BD, Jupiter JB, Levine AM, Trafton PG, editors. Skeletal trauma: basic science, management, and reconstruction. 5th ed. Philadelphia: Saunders; 2014. p. 769-790.</w:t>
      </w:r>
    </w:p>
    <w:p w14:paraId="2D13FBF6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Jazayeri SB, Maroufi SF, et al. Incidence of traumatic spinal cord injury worldwide: a systematic review, data integration, and update. World Neurosurg X. 2023 Feb 1;18:100171. doi:10.1016/j.wnsx.2023.100171. PMID:36910686.</w:t>
      </w:r>
    </w:p>
    <w:p w14:paraId="72B5DF76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Vaccaro AR, Harrop JS, et al. Prehospital and emergency room management, as well as timing of treatment. In: Eismont FJ, Bell GR, editors. Spine: core knowledge in orthopaedics. Philadelphia: Mosby Elsevier; 2010. p. 275-289.</w:t>
      </w:r>
    </w:p>
    <w:p w14:paraId="464A9C91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Catapano JS, Hawryluk GWJ, et al. Acute non-operative management of traumatic spinal cord injury: state of the art. In: Fehlings MG, Harrop JS, editors. AOSpine master series. Vol. 5. Stuttgart: Thieme; 2017. p. 55-72. doi:10.1055/b-0036-137994.</w:t>
      </w:r>
    </w:p>
    <w:p w14:paraId="37653354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Kirshblum SC, Burns SP, et al. International standards for neurological classification of spinal cord injury: revised 2011. J Spinal Cord Med. 2011 Nov;34(6):535-46. doi:10.1179/204577211X13207446293695. PMID:22330108.</w:t>
      </w:r>
    </w:p>
    <w:p w14:paraId="406EF063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Zhang L-X, Yin Y-M, et al. Grafted bone marrow stromal cells: a contributor to glial repair after spinal cord injury. The Neuroscientist. 2014;21(3):277-289. doi:10.1177/1073858414532171.</w:t>
      </w:r>
    </w:p>
    <w:p w14:paraId="7B08DBC1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Wilson JR, Fehlings MG. Riluzole for acute traumatic spinal cord injury: a promising neuroprotective treatment strategy. World Neurosurg. 2014 May-Jun;81(5-6):825-9. doi:10.1016/j.wneu.2013.01.001. PMID:23295632.</w:t>
      </w:r>
    </w:p>
    <w:p w14:paraId="1DE37A7E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Wilson JR, Cadotte DW, et al. Clinical predictors of neurological outcome, functional status, and survival after traumatic spinal cord injury: a systematic review. J Neurosurg Spine. 2012 Sep;17(1 Suppl):11-26. doi:10.3171/2012.4.AOSPINE1245. PMID:22985366.</w:t>
      </w:r>
    </w:p>
    <w:p w14:paraId="3ADF0585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Fehlings MG, Vaccaro A, et al. Early versus delayed decompression for traumatic cervical spinal cord injury: results of the Surgical Timing in Acute Spinal Cord Injury Study (STASCIS). PLoS One. 2012;7(2):e32037. doi:10.1371/journal.pone.0032037. PMID:22384132.</w:t>
      </w:r>
    </w:p>
    <w:p w14:paraId="18E39FAD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Kamiya K, Koda M, et al. Neuroprotective therapy with granulocyte colony-stimulating factor in acute spinal cord injury: a comparison with high-dose methylprednisolone as a historical control. Eur Spine J. 2015 May;24(5):963-7. doi:10.1007/s00586-014-3373-0. PMID:24961222.</w:t>
      </w:r>
    </w:p>
    <w:p w14:paraId="6F7179F3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Casha S, Zygun D, et al. Results of a phase II placebo-controlled randomized trial of minocycline in acute spinal cord injury. Brain. 2012 Apr;135(Pt 4):1224-36. doi:10.1093/brain/aws072. PMID:22505632.</w:t>
      </w:r>
    </w:p>
    <w:p w14:paraId="6F6051C4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Grossman RG, Fehlings MG, et al. A prospective, multicenter, phase I matched-comparison group trial of safety, pharmacokinetics, and preliminary efficacy of riluzole in patients with traumatic spinal cord injury. J Neurotrauma. 2014 Feb 1;31(3):239-55. doi:10.1089/neu.2013.2969. PMID:23859435.</w:t>
      </w:r>
    </w:p>
    <w:p w14:paraId="5D2DBB05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Dasari VR, Veeravalli KK, et al. Mesenchymal stem cells in the treatment of spinal cord injuries: a review. World J Stem Cells. 2014 Apr 26;6(2):120-33. doi:10.4252/wjsc.v6.i2.120. PMID:24772239.</w:t>
      </w:r>
    </w:p>
    <w:p w14:paraId="3E6CA188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Ramer LM, Ramer MS, et al. Restoring function after spinal cord injury: towards clinical translation of experimental strategies. Lancet Neurol. 2014 Dec;13(12):1241-56. doi:10.1016/S1474-4422(14)70144-9. PMID:25453463.</w:t>
      </w:r>
    </w:p>
    <w:p w14:paraId="687DBBC4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Jazayeri SB, Maroufi SF, et al. Incidence of traumatic spinal cord injury worldwide: a systematic review, data integration, and update. World Neurosurg X. 2023 Feb 1;18:100171. doi:10.1016/j.wnsx.2023.100171. PMID:36910686.</w:t>
      </w:r>
    </w:p>
    <w:p w14:paraId="3A99347B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Hubertus V, Badhiwala JH, et al. AO Spine clinical practice recommendations for the surgical management of acute traumatic spinal cord injury: contemporary concepts. Global Spine J. 2025 Jun 8:21925682251350941. doi:10.1177/21925682251350941. PMID:40483581.</w:t>
      </w:r>
    </w:p>
    <w:p w14:paraId="227F2A34" w14:textId="77777777" w:rsidR="007A178E" w:rsidRPr="007A178E" w:rsidRDefault="007A178E" w:rsidP="007A1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Aarabi B, Olexa J, et al. Extent of spinal cord decompression in motor complete American Spinal Injury Association Impairment Scale grades A and B traumatic spinal cord injury patients: postoperative magnetic resonance imaging analysis of standard operative approaches. J Neurotrauma. 2019;36:862-876. doi:10.1089/neu.2018.5834.</w:t>
      </w:r>
    </w:p>
    <w:p w14:paraId="554ADF5E" w14:textId="77777777" w:rsidR="007A178E" w:rsidRPr="007A178E" w:rsidRDefault="00A845DD" w:rsidP="007A1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5DD">
        <w:rPr>
          <w:rFonts w:ascii="Times New Roman" w:eastAsia="Times New Roman" w:hAnsi="Times New Roman" w:cs="Times New Roman"/>
          <w:noProof/>
          <w:kern w:val="0"/>
        </w:rPr>
        <w:pict w14:anchorId="4B5DA9D3">
          <v:rect id="_x0000_i1026" style="width:0;height:1.5pt" o:hralign="center" o:hrstd="t" o:hr="t" fillcolor="#a0a0a0" stroked="f"/>
        </w:pict>
      </w:r>
    </w:p>
    <w:p w14:paraId="3467F89C" w14:textId="77777777" w:rsidR="007A178E" w:rsidRPr="007A178E" w:rsidRDefault="007A178E" w:rsidP="007A1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Metadados para publicação</w:t>
      </w:r>
    </w:p>
    <w:p w14:paraId="13B93BE3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SEO:</w:t>
      </w: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Trauma raquimedular: diagnóstico e tratamento | Tratado</w:t>
      </w:r>
    </w:p>
    <w:p w14:paraId="443B2451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 descrição:</w:t>
      </w: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Entenda a fisiopatologia, a avaliação ISNCSCI/AIS, o diagnóstico por imagem, a descompressão precoce e a prevenção de complicações no trauma raquimedular.</w:t>
      </w:r>
    </w:p>
    <w:p w14:paraId="2BED21C0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Resumo de chamada:</w:t>
      </w: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Síntese da lesão primária e secundária, classificação ISNCSCI/AIS, diagnóstico, neuroproteção, descompressão precoce, terapias investigacionais e prevenção das principais complicações sistêmicas.</w:t>
      </w:r>
    </w:p>
    <w:p w14:paraId="433492EC" w14:textId="77777777" w:rsidR="007A178E" w:rsidRPr="007A178E" w:rsidRDefault="007A178E" w:rsidP="007A1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17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Sugestão de slug:</w:t>
      </w:r>
      <w:r w:rsidRPr="007A17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A17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trauma-raquimedular</w:t>
      </w:r>
    </w:p>
    <w:p w14:paraId="52F54F36" w14:textId="77777777" w:rsidR="007A178E" w:rsidRPr="007A178E" w:rsidRDefault="00A845DD" w:rsidP="007A1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5DD">
        <w:rPr>
          <w:rFonts w:ascii="Times New Roman" w:eastAsia="Times New Roman" w:hAnsi="Times New Roman" w:cs="Times New Roman"/>
          <w:noProof/>
          <w:kern w:val="0"/>
        </w:rPr>
        <w:pict w14:anchorId="6ACB8E3E">
          <v:rect id="_x0000_i1025" style="width:0;height:1.5pt" o:hralign="center" o:hrstd="t" o:hr="t" fillcolor="#a0a0a0" stroked="f"/>
        </w:pict>
      </w:r>
    </w:p>
    <w:p w14:paraId="73D907D8" w14:textId="77777777" w:rsidR="007A178E" w:rsidRDefault="007A178E"/>
    <w:sectPr w:rsidR="007A17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4002E"/>
    <w:multiLevelType w:val="multilevel"/>
    <w:tmpl w:val="2E061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A76CE"/>
    <w:multiLevelType w:val="multilevel"/>
    <w:tmpl w:val="4322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23F3E"/>
    <w:multiLevelType w:val="multilevel"/>
    <w:tmpl w:val="F80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042500"/>
    <w:multiLevelType w:val="multilevel"/>
    <w:tmpl w:val="3930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177814">
    <w:abstractNumId w:val="1"/>
  </w:num>
  <w:num w:numId="2" w16cid:durableId="439224636">
    <w:abstractNumId w:val="0"/>
  </w:num>
  <w:num w:numId="3" w16cid:durableId="576355569">
    <w:abstractNumId w:val="3"/>
  </w:num>
  <w:num w:numId="4" w16cid:durableId="36027978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8E"/>
    <w:rsid w:val="006F6E99"/>
    <w:rsid w:val="007A178E"/>
    <w:rsid w:val="00A8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28C9DF"/>
  <w15:chartTrackingRefBased/>
  <w15:docId w15:val="{5A31C55F-AD12-0944-A92A-08ABF9798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1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1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7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1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178E"/>
    <w:rPr>
      <w:b/>
      <w:bCs/>
    </w:rPr>
  </w:style>
  <w:style w:type="character" w:customStyle="1" w:styleId="apple-converted-space">
    <w:name w:val="apple-converted-space"/>
    <w:basedOn w:val="DefaultParagraphFont"/>
    <w:rsid w:val="007A178E"/>
  </w:style>
  <w:style w:type="character" w:styleId="Emphasis">
    <w:name w:val="Emphasis"/>
    <w:basedOn w:val="DefaultParagraphFont"/>
    <w:uiPriority w:val="20"/>
    <w:qFormat/>
    <w:rsid w:val="007A178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A17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1963</Words>
  <Characters>12647</Characters>
  <Application>Microsoft Office Word</Application>
  <DocSecurity>0</DocSecurity>
  <Lines>238</Lines>
  <Paragraphs>100</Paragraphs>
  <ScaleCrop>false</ScaleCrop>
  <Company/>
  <LinksUpToDate>false</LinksUpToDate>
  <CharactersWithSpaces>14510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2026-08-19T17:27:00Z</dcterms:created>
  <dcterms:modified xsi:type="dcterms:W3CDTF">2026-08-19T17:29:00Z</dcterms:modified>
</cp:coreProperties>
</file>