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8787DB" w14:textId="6FD17A9C" w:rsidR="00D91165" w:rsidRPr="00D91165" w:rsidRDefault="00D91165" w:rsidP="00D9116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D91165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 xml:space="preserve">Capítulo 21 — Lesões Traumáticas da Coluna Cervical </w:t>
      </w:r>
      <w:proofErr w:type="spellStart"/>
      <w:r w:rsidRPr="00D91165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Subaxial</w:t>
      </w:r>
      <w:proofErr w:type="spellEnd"/>
      <w:r w:rsidRPr="00D91165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 xml:space="preserve"> </w:t>
      </w:r>
    </w:p>
    <w:p w14:paraId="4A73D318" w14:textId="77777777" w:rsidR="00D91165" w:rsidRPr="00D91165" w:rsidRDefault="00D91165" w:rsidP="00D9116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</w:pPr>
      <w:r w:rsidRPr="00D91165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Identificação</w:t>
      </w:r>
    </w:p>
    <w:p w14:paraId="32670091" w14:textId="77777777" w:rsidR="00D91165" w:rsidRDefault="00D91165" w:rsidP="00D9116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D91165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Número do capítulo:</w:t>
      </w:r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 21</w:t>
      </w:r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br/>
      </w:r>
      <w:r w:rsidRPr="00D91165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Título completo — forma editorial normalizada:</w:t>
      </w:r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 xml:space="preserve"> Lesões Traumáticas da Coluna Cervical 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Subaxial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</w:p>
    <w:p w14:paraId="58762732" w14:textId="35B2A732" w:rsidR="00D91165" w:rsidRPr="00D91165" w:rsidRDefault="00D91165" w:rsidP="00D9116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D91165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Seção do Tratado:</w:t>
      </w:r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 </w:t>
      </w:r>
      <w:r>
        <w:rPr>
          <w:rFonts w:ascii="Times New Roman" w:eastAsia="Times New Roman" w:hAnsi="Times New Roman" w:cs="Times New Roman"/>
          <w:color w:val="000000"/>
          <w:lang w:eastAsia="pt-BR"/>
        </w:rPr>
        <w:t>3</w:t>
      </w:r>
    </w:p>
    <w:p w14:paraId="47CA7D15" w14:textId="77777777" w:rsidR="00D91165" w:rsidRPr="00D91165" w:rsidRDefault="00D91165" w:rsidP="00D9116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D91165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Autores</w:t>
      </w:r>
    </w:p>
    <w:p w14:paraId="3E2D7941" w14:textId="77777777" w:rsidR="00D91165" w:rsidRPr="00D91165" w:rsidRDefault="00D91165" w:rsidP="00D9116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 xml:space="preserve">Edson 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Pudles</w:t>
      </w:r>
      <w:proofErr w:type="spellEnd"/>
    </w:p>
    <w:p w14:paraId="7191784B" w14:textId="77777777" w:rsidR="00D91165" w:rsidRPr="00D91165" w:rsidRDefault="00D91165" w:rsidP="00D9116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 xml:space="preserve">Luiz Gustavo 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Dal'Oglio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 xml:space="preserve"> da Rocha</w:t>
      </w:r>
    </w:p>
    <w:p w14:paraId="245C3371" w14:textId="77777777" w:rsidR="00D91165" w:rsidRPr="00D91165" w:rsidRDefault="00D91165" w:rsidP="00D91165">
      <w:pPr>
        <w:spacing w:beforeAutospacing="1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D91165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Nota editorial para o site</w:t>
      </w:r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br/>
        <w:t>Esta página apresenta os conceitos essenciais do capítulo. Os detalhes das classificações, critérios quantitativos de instabilidade, técnicas de redução, parâmetros de instrumentação e particularidades operatórias permanecem no conteúdo integral do </w:t>
      </w:r>
      <w:r w:rsidRPr="00D91165">
        <w:rPr>
          <w:rFonts w:ascii="Times New Roman" w:eastAsia="Times New Roman" w:hAnsi="Times New Roman" w:cs="Times New Roman"/>
          <w:i/>
          <w:iCs/>
          <w:color w:val="000000"/>
          <w:lang w:eastAsia="pt-BR"/>
        </w:rPr>
        <w:t>Tratado de Cirurgia da Coluna</w:t>
      </w:r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.</w:t>
      </w:r>
    </w:p>
    <w:p w14:paraId="002E3345" w14:textId="77777777" w:rsidR="00D91165" w:rsidRPr="00D91165" w:rsidRDefault="00A502EA" w:rsidP="00D91165">
      <w:pPr>
        <w:rPr>
          <w:rFonts w:ascii="Times New Roman" w:eastAsia="Times New Roman" w:hAnsi="Times New Roman" w:cs="Times New Roman"/>
          <w:lang w:eastAsia="pt-BR"/>
        </w:rPr>
      </w:pPr>
      <w:r w:rsidRPr="00D91165">
        <w:rPr>
          <w:rFonts w:ascii="Times New Roman" w:eastAsia="Times New Roman" w:hAnsi="Times New Roman" w:cs="Times New Roman"/>
          <w:noProof/>
          <w:lang w:eastAsia="pt-BR"/>
        </w:rPr>
        <w:pict w14:anchorId="38F2E439">
          <v:rect id="_x0000_i1036" alt="" style="width:424.75pt;height:.05pt;mso-width-percent:0;mso-height-percent:0;mso-width-percent:0;mso-height-percent:0" o:hrpct="999" o:hralign="center" o:hrstd="t" o:hr="t" fillcolor="#a0a0a0" stroked="f"/>
        </w:pict>
      </w:r>
    </w:p>
    <w:p w14:paraId="0771A0E8" w14:textId="77777777" w:rsidR="00D91165" w:rsidRPr="00D91165" w:rsidRDefault="00D91165" w:rsidP="00D9116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D91165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Contexto</w:t>
      </w:r>
    </w:p>
    <w:p w14:paraId="2D3698A9" w14:textId="77777777" w:rsidR="00D91165" w:rsidRPr="00D91165" w:rsidRDefault="00D91165" w:rsidP="00D9116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 xml:space="preserve">As lesões traumáticas da coluna cervical 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subaxial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 xml:space="preserve"> compreendem um amplo espectro, desde fraturas ósseas relativamente estáveis até graves lesões disco-ligamentares, luxações e traumatismos associados à medula espinal. A anatomia entre C3 e C7 reúne elevada mobilidade, articulações 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uncovertebrais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 xml:space="preserve"> e 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facetárias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, ligamentos estabilizadores, raízes nervosas, artéria vertebral e um canal que abriga a intumescência cervical da medula, tornando determinadas lesões potencialmente devastadoras. O diagnóstico pode ser dificultado no politraumatizado, no paciente inconsciente ou quando as áreas de transição não são adequadamente avaliadas. Além da morfologia óssea, estabilidade, integridade do complexo disco-ligamentar e condição neurológica precisam ser analisadas conjuntamente. O capítulo percorre a evolução das classificações, com destaque para o sistema AO, e relaciona os diferentes padrões traumáticos às possibilidades de tratamento conservador ou cirúrgico, incluindo abordagens anterior, posterior ou combinada.</w:t>
      </w:r>
    </w:p>
    <w:p w14:paraId="228B4BFA" w14:textId="77777777" w:rsidR="00D91165" w:rsidRPr="00D91165" w:rsidRDefault="00A502EA" w:rsidP="00D91165">
      <w:pPr>
        <w:rPr>
          <w:rFonts w:ascii="Times New Roman" w:eastAsia="Times New Roman" w:hAnsi="Times New Roman" w:cs="Times New Roman"/>
          <w:lang w:eastAsia="pt-BR"/>
        </w:rPr>
      </w:pPr>
      <w:r w:rsidRPr="00D91165">
        <w:rPr>
          <w:rFonts w:ascii="Times New Roman" w:eastAsia="Times New Roman" w:hAnsi="Times New Roman" w:cs="Times New Roman"/>
          <w:noProof/>
          <w:lang w:eastAsia="pt-BR"/>
        </w:rPr>
        <w:pict w14:anchorId="592A1E65">
          <v:rect id="_x0000_i1035" alt="" style="width:424.75pt;height:.05pt;mso-width-percent:0;mso-height-percent:0;mso-width-percent:0;mso-height-percent:0" o:hrpct="999" o:hralign="center" o:hrstd="t" o:hr="t" fillcolor="#a0a0a0" stroked="f"/>
        </w:pict>
      </w:r>
    </w:p>
    <w:p w14:paraId="54EE7013" w14:textId="77777777" w:rsidR="00D91165" w:rsidRPr="00D91165" w:rsidRDefault="00D91165" w:rsidP="00D9116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D91165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Objetivo do capítulo</w:t>
      </w:r>
    </w:p>
    <w:p w14:paraId="5A4E7E93" w14:textId="77777777" w:rsidR="00D91165" w:rsidRPr="00D91165" w:rsidRDefault="00D91165" w:rsidP="00D9116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 xml:space="preserve">Apresentar uma estratégia integrada para reconhecimento, classificação e tratamento das lesões traumáticas de C3 a C7. O leitor deverá compreender os fundamentos anatômicos da estabilidade cervical, reconhecer padrões compressivos, distrativos e translacionais, interpretar o papel da tomografia computadorizada e da ressonância </w:t>
      </w:r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lastRenderedPageBreak/>
        <w:t>magnética, integrar morfologia e estado neurológico e compreender os princípios que orientam tratamento conservador, descompressão, redução e escolha da via cirúrgica.</w:t>
      </w:r>
    </w:p>
    <w:p w14:paraId="105AC4B1" w14:textId="77777777" w:rsidR="00D91165" w:rsidRPr="00D91165" w:rsidRDefault="00A502EA" w:rsidP="00D91165">
      <w:pPr>
        <w:rPr>
          <w:rFonts w:ascii="Times New Roman" w:eastAsia="Times New Roman" w:hAnsi="Times New Roman" w:cs="Times New Roman"/>
          <w:lang w:eastAsia="pt-BR"/>
        </w:rPr>
      </w:pPr>
      <w:r w:rsidRPr="00D91165">
        <w:rPr>
          <w:rFonts w:ascii="Times New Roman" w:eastAsia="Times New Roman" w:hAnsi="Times New Roman" w:cs="Times New Roman"/>
          <w:noProof/>
          <w:lang w:eastAsia="pt-BR"/>
        </w:rPr>
        <w:pict w14:anchorId="3FDCF1AB">
          <v:rect id="_x0000_i1034" alt="" style="width:424.75pt;height:.05pt;mso-width-percent:0;mso-height-percent:0;mso-width-percent:0;mso-height-percent:0" o:hrpct="999" o:hralign="center" o:hrstd="t" o:hr="t" fillcolor="#a0a0a0" stroked="f"/>
        </w:pict>
      </w:r>
    </w:p>
    <w:p w14:paraId="05387460" w14:textId="77777777" w:rsidR="00D91165" w:rsidRPr="00D91165" w:rsidRDefault="00D91165" w:rsidP="00D9116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</w:pPr>
      <w:r w:rsidRPr="00D9116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  <w:t>Conteúdo principal</w:t>
      </w:r>
    </w:p>
    <w:p w14:paraId="61D53195" w14:textId="77777777" w:rsidR="00D91165" w:rsidRPr="00D91165" w:rsidRDefault="00D91165" w:rsidP="00D9116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</w:pPr>
      <w:r w:rsidRPr="00D91165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Anatomia e estabilidade</w:t>
      </w:r>
    </w:p>
    <w:p w14:paraId="4ADC0F7F" w14:textId="77777777" w:rsidR="00D91165" w:rsidRPr="00D91165" w:rsidRDefault="00D91165" w:rsidP="00D9116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 xml:space="preserve">A coluna cervical 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subaxial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 xml:space="preserve"> combina suporte anterior pelos corpos vertebrais e discos com estabilização posterior pelas facetas, cápsulas articulares e complexos ligamentares. Artéria vertebral, raízes nervosas e medula mantêm relações estreitas com as estruturas utilizadas para fixação, aspecto ilustrado nas </w:t>
      </w:r>
      <w:r w:rsidRPr="00D91165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Figuras 1 a 6</w:t>
      </w:r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. O capítulo destaca que estabilidade não depende de um único elemento anatômico: resulta da interação entre estruturas ósseas, disco-ligamentares e musculares.</w:t>
      </w:r>
    </w:p>
    <w:p w14:paraId="774B6A54" w14:textId="77777777" w:rsidR="00D91165" w:rsidRPr="00D91165" w:rsidRDefault="00D91165" w:rsidP="00D9116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A lesão ligamentar merece atenção especial porque pode ser menos evidente que uma fratura e apresentar menor capacidade de recuperação espontânea da estabilidade. Por isso, uma lesão aparentemente limitada à coluna anterior não deve ser automaticamente interpretada como estável.</w:t>
      </w:r>
    </w:p>
    <w:p w14:paraId="233B07A3" w14:textId="77777777" w:rsidR="00D91165" w:rsidRPr="00D91165" w:rsidRDefault="00D91165" w:rsidP="00D9116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</w:pPr>
      <w:r w:rsidRPr="00D91165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Classificação como linguagem comum</w:t>
      </w:r>
    </w:p>
    <w:p w14:paraId="2AA0BA14" w14:textId="77777777" w:rsidR="00D91165" w:rsidRPr="00D91165" w:rsidRDefault="00D91165" w:rsidP="00D9116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Allen e Ferguson organizaram historicamente as lesões segundo seu mecanismo. O sistema SLIC incorporou três dimensões relevantes — morfologia, integridade disco-ligamentar e condição neurológica — para auxiliar a tomada de decisão.</w:t>
      </w:r>
    </w:p>
    <w:p w14:paraId="730F5E24" w14:textId="77777777" w:rsidR="00D91165" w:rsidRPr="00D91165" w:rsidRDefault="00D91165" w:rsidP="00D9116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 xml:space="preserve">O sistema AO 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Spine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 xml:space="preserve"> apresentado no capítulo amplia essa organização. A morfologia é agrupada em </w:t>
      </w:r>
      <w:r w:rsidRPr="00D91165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tipos A, B e C</w:t>
      </w:r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, correspondendo, conceitualmente, a padrões predominantemente compressivos, lesões por falha das estruturas tensionais e lesões com deslocamento ou componente translacional. As </w:t>
      </w:r>
      <w:r w:rsidRPr="00D91165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Tabelas 1 e 2</w:t>
      </w:r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 e as </w:t>
      </w:r>
      <w:r w:rsidRPr="00D91165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Figuras 7 a 15</w:t>
      </w:r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 demonstram esses padrões.</w:t>
      </w:r>
    </w:p>
    <w:p w14:paraId="2F9B72DB" w14:textId="77777777" w:rsidR="00D91165" w:rsidRPr="00D91165" w:rsidRDefault="00D91165" w:rsidP="00D9116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O sistema também registra separadamente as </w:t>
      </w:r>
      <w:r w:rsidRPr="00D91165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 xml:space="preserve">lesões </w:t>
      </w:r>
      <w:proofErr w:type="spellStart"/>
      <w:r w:rsidRPr="00D91165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facetárias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, a </w:t>
      </w:r>
      <w:r w:rsidRPr="00D91165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condição neurológica</w:t>
      </w:r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 e </w:t>
      </w:r>
      <w:r w:rsidRPr="00D91165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modificadores clínicos</w:t>
      </w:r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, apresentados nas </w:t>
      </w:r>
      <w:r w:rsidRPr="00D91165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Tabelas 3 a 5</w:t>
      </w:r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 e nas </w:t>
      </w:r>
      <w:r w:rsidRPr="00D91165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Figuras 16 a 19</w:t>
      </w:r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. Essa estrutura permite descrever lesões complexas sem reduzir toda a decisão terapêutica à aparência da fratura.</w:t>
      </w:r>
    </w:p>
    <w:p w14:paraId="7992050F" w14:textId="77777777" w:rsidR="00D91165" w:rsidRPr="00D91165" w:rsidRDefault="00D91165" w:rsidP="00D9116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</w:pPr>
      <w:r w:rsidRPr="00D91165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Diagnóstico e papel da imagem</w:t>
      </w:r>
    </w:p>
    <w:p w14:paraId="71D917EB" w14:textId="77777777" w:rsidR="00D91165" w:rsidRPr="00D91165" w:rsidRDefault="00D91165" w:rsidP="00D9116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A investigação deve abranger toda a coluna cervical e suas transições. A tomografia computadorizada constitui o principal método para caracterizar a morfologia óssea. A ressonância magnética acrescenta informação sobre estruturas disco-ligamentares, disco intervertebral, medula e outros elementos neurais.</w:t>
      </w:r>
    </w:p>
    <w:p w14:paraId="30777BCC" w14:textId="77777777" w:rsidR="00D91165" w:rsidRPr="00D91165" w:rsidRDefault="00D91165" w:rsidP="00D9116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O próprio capítulo reconhece controvérsia quanto ao emprego rotineiro da ressonância em todos os pacientes após tomografia adequada. Sua utilidade aumenta quando existe discrepância clínico-radiológica, dúvida sobre estruturas ligamentares ou necessidade de compreender melhor o comprometimento neural.</w:t>
      </w:r>
    </w:p>
    <w:p w14:paraId="72D50A76" w14:textId="77777777" w:rsidR="00D91165" w:rsidRPr="00D91165" w:rsidRDefault="00D91165" w:rsidP="00D9116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</w:pPr>
      <w:r w:rsidRPr="00D91165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lastRenderedPageBreak/>
        <w:t>Princípios de tratamento</w:t>
      </w:r>
    </w:p>
    <w:p w14:paraId="71FF4A66" w14:textId="77777777" w:rsidR="00D91165" w:rsidRPr="00D91165" w:rsidRDefault="00D91165" w:rsidP="00D9116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A </w:t>
      </w:r>
      <w:r w:rsidRPr="00D91165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Tabela 6</w:t>
      </w:r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 reúne os elementos considerados na decisão: padrão da lesão, estado neurológico, comprometimento do canal, estruturas ligamentares, condições gerais, lesões associadas, recursos disponíveis e experiência da equipe.</w:t>
      </w:r>
    </w:p>
    <w:p w14:paraId="69D61CDE" w14:textId="77777777" w:rsidR="00D91165" w:rsidRPr="00D91165" w:rsidRDefault="00D91165" w:rsidP="00D9116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De forma conceitual, lesões predominantemente compressivas e estáveis podem admitir manejo conservador em situações selecionadas. Lesões tensionais, translacionais, luxações e padrões combinados apresentam maior potencial de instabilidade e frequentemente exigem estabilização.</w:t>
      </w:r>
    </w:p>
    <w:p w14:paraId="561E6D8E" w14:textId="77777777" w:rsidR="00D91165" w:rsidRPr="00D91165" w:rsidRDefault="00D91165" w:rsidP="00D9116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A escolha entre abordagem anterior, posterior ou combinada depende do local da compressão, padrão de instabilidade, possibilidade de redução, condição do corpo vertebral e das facetas e extensão da lesão. A </w:t>
      </w:r>
      <w:r w:rsidRPr="00D91165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Tabela 7</w:t>
      </w:r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 reúne situações em que uma abordagem combinada deve ser considerada. Nas lesões associadas a traumatismo raquimedular, o capítulo enfatiza a importância da descompressão precoce quando indicada.</w:t>
      </w:r>
    </w:p>
    <w:p w14:paraId="685DB28E" w14:textId="77777777" w:rsidR="00D91165" w:rsidRPr="00D91165" w:rsidRDefault="00A502EA" w:rsidP="00D91165">
      <w:pPr>
        <w:rPr>
          <w:rFonts w:ascii="Times New Roman" w:eastAsia="Times New Roman" w:hAnsi="Times New Roman" w:cs="Times New Roman"/>
          <w:lang w:eastAsia="pt-BR"/>
        </w:rPr>
      </w:pPr>
      <w:r w:rsidRPr="00D91165">
        <w:rPr>
          <w:rFonts w:ascii="Times New Roman" w:eastAsia="Times New Roman" w:hAnsi="Times New Roman" w:cs="Times New Roman"/>
          <w:noProof/>
          <w:lang w:eastAsia="pt-BR"/>
        </w:rPr>
        <w:pict w14:anchorId="1A2FF2F5">
          <v:rect id="_x0000_i1033" alt="" style="width:424.75pt;height:.05pt;mso-width-percent:0;mso-height-percent:0;mso-width-percent:0;mso-height-percent:0" o:hrpct="999" o:hralign="center" o:hrstd="t" o:hr="t" fillcolor="#a0a0a0" stroked="f"/>
        </w:pict>
      </w:r>
    </w:p>
    <w:p w14:paraId="6D97E6D9" w14:textId="77777777" w:rsidR="00D91165" w:rsidRPr="00D91165" w:rsidRDefault="00D91165" w:rsidP="00D9116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D91165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Aplicação clínica</w:t>
      </w:r>
    </w:p>
    <w:p w14:paraId="777FF6EF" w14:textId="77777777" w:rsidR="00D91165" w:rsidRPr="00D91165" w:rsidRDefault="00D91165" w:rsidP="00D9116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 xml:space="preserve">Na prática, o raciocínio começa pela busca ativa da lesão. Politrauma, alteração de consciência, trauma cranioencefálico e dor cervical significativa aumentam a possibilidade de uma lesão passar despercebida. A investigação por imagem deve incluir adequadamente as transições cervical superior e 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cervicotorácica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 xml:space="preserve"> e ser interpretada em conjunto com o exame neurológico.</w:t>
      </w:r>
    </w:p>
    <w:p w14:paraId="03312271" w14:textId="77777777" w:rsidR="00D91165" w:rsidRPr="00D91165" w:rsidRDefault="00D91165" w:rsidP="00D9116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Depois de reconhecer a lesão, o cirurgião deve perguntar se existe falha predominantemente óssea, disco-ligamentar ou combinada; se há deslocamento; se as facetas estão envolvidas; e qual é a repercussão neurológica. A classificação AO oferece uma linguagem organizada para registrar esses componentes, mas não substitui a interpretação clínica.</w:t>
      </w:r>
    </w:p>
    <w:p w14:paraId="0F030705" w14:textId="77777777" w:rsidR="00D91165" w:rsidRPr="00D91165" w:rsidRDefault="00D91165" w:rsidP="00D9116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A TC define principalmente a morfologia. A RM deve responder a uma questão específica, sobretudo quando há suspeita ligamentar, discal ou neural não suficientemente esclarecida. Na escolha terapêutica, a via anterior favorece o acesso às estruturas anteriores e a descompressão direta quando necessária; a posterior permite controle das estruturas posteriores e facetas; e construções combinadas podem ser necessárias diante de instabilidade mais extensa ou lesões complexas.</w:t>
      </w:r>
    </w:p>
    <w:p w14:paraId="0231069E" w14:textId="77777777" w:rsidR="00D91165" w:rsidRPr="00D91165" w:rsidRDefault="00D91165" w:rsidP="00D9116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Luxações exigem atenção especial à redução e à descompressão. O capítulo ressalta que atrasar uma intervenção potencialmente necessária apenas para completar exames que não modificarão a estratégia também pode representar uma armadilha clínica.</w:t>
      </w:r>
    </w:p>
    <w:p w14:paraId="2DD77D91" w14:textId="77777777" w:rsidR="00D91165" w:rsidRPr="00D91165" w:rsidRDefault="00A502EA" w:rsidP="00D91165">
      <w:pPr>
        <w:rPr>
          <w:rFonts w:ascii="Times New Roman" w:eastAsia="Times New Roman" w:hAnsi="Times New Roman" w:cs="Times New Roman"/>
          <w:lang w:eastAsia="pt-BR"/>
        </w:rPr>
      </w:pPr>
      <w:r w:rsidRPr="00D91165">
        <w:rPr>
          <w:rFonts w:ascii="Times New Roman" w:eastAsia="Times New Roman" w:hAnsi="Times New Roman" w:cs="Times New Roman"/>
          <w:noProof/>
          <w:lang w:eastAsia="pt-BR"/>
        </w:rPr>
        <w:pict w14:anchorId="3C885F92">
          <v:rect id="_x0000_i1032" alt="" style="width:424.75pt;height:.05pt;mso-width-percent:0;mso-height-percent:0;mso-width-percent:0;mso-height-percent:0" o:hrpct="999" o:hralign="center" o:hrstd="t" o:hr="t" fillcolor="#a0a0a0" stroked="f"/>
        </w:pict>
      </w:r>
    </w:p>
    <w:p w14:paraId="3EF8F6ED" w14:textId="77777777" w:rsidR="00D91165" w:rsidRPr="00D91165" w:rsidRDefault="00D91165" w:rsidP="00D9116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D91165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Mensagem central</w:t>
      </w:r>
    </w:p>
    <w:p w14:paraId="7025A502" w14:textId="77777777" w:rsidR="00D91165" w:rsidRPr="00D91165" w:rsidRDefault="00D91165" w:rsidP="00D9116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lastRenderedPageBreak/>
        <w:t>Nas lesões traumáticas de C3 a C7, a decisão terapêutica não deve ser determinada apenas pela fratura visível. Morfologia, complexo disco-ligamentar, facetas, deslocamento, condição neurológica e contexto clínico definem conjuntamente a estabilidade. A classificação AO organiza essas informações, enquanto TC e RM exercem funções complementares. O objetivo final é preservar ou recuperar função neurológica, alinhamento e estabilidade utilizando a estratégia proporcional à gravidade da lesão.</w:t>
      </w:r>
    </w:p>
    <w:p w14:paraId="6F381F6E" w14:textId="77777777" w:rsidR="00D91165" w:rsidRPr="00D91165" w:rsidRDefault="00A502EA" w:rsidP="00D91165">
      <w:pPr>
        <w:rPr>
          <w:rFonts w:ascii="Times New Roman" w:eastAsia="Times New Roman" w:hAnsi="Times New Roman" w:cs="Times New Roman"/>
          <w:lang w:eastAsia="pt-BR"/>
        </w:rPr>
      </w:pPr>
      <w:r w:rsidRPr="00D91165">
        <w:rPr>
          <w:rFonts w:ascii="Times New Roman" w:eastAsia="Times New Roman" w:hAnsi="Times New Roman" w:cs="Times New Roman"/>
          <w:noProof/>
          <w:lang w:eastAsia="pt-BR"/>
        </w:rPr>
        <w:pict w14:anchorId="56C73137">
          <v:rect id="_x0000_i1031" alt="" style="width:424.75pt;height:.05pt;mso-width-percent:0;mso-height-percent:0;mso-width-percent:0;mso-height-percent:0" o:hrpct="999" o:hralign="center" o:hrstd="t" o:hr="t" fillcolor="#a0a0a0" stroked="f"/>
        </w:pict>
      </w:r>
    </w:p>
    <w:p w14:paraId="571AB9C4" w14:textId="77777777" w:rsidR="00D91165" w:rsidRPr="00D91165" w:rsidRDefault="00D91165" w:rsidP="00D91165">
      <w:pPr>
        <w:spacing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D91165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Por que este capítulo importa</w:t>
      </w:r>
    </w:p>
    <w:p w14:paraId="37558951" w14:textId="77777777" w:rsidR="00D91165" w:rsidRPr="00D91165" w:rsidRDefault="00D91165" w:rsidP="00D91165">
      <w:pPr>
        <w:spacing w:before="100" w:beforeAutospacing="1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 xml:space="preserve">Algumas das lesões mais perigosas da coluna cervical 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subaxial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 xml:space="preserve"> não são as que apresentam a fratura mais evidente, mas aquelas em que a falha disco-ligamentar ou 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facetária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 xml:space="preserve"> produz instabilidade pouco reconhecida inicialmente. O capítulo mostra como ultrapassar uma leitura exclusivamente óssea do trauma e integrar morfologia, neurologia e estabilidade. Essa abordagem ajuda a reconhecer lesões potencialmente ocultas, selecionar adequadamente os exames, evitar deformidade pós-traumática e decidir quando uma abordagem anterior, posterior ou combinada é necessária — sem transformar a classificação em uma receita automática de tratamento.</w:t>
      </w:r>
    </w:p>
    <w:p w14:paraId="6781BE97" w14:textId="77777777" w:rsidR="00D91165" w:rsidRPr="00D91165" w:rsidRDefault="00A502EA" w:rsidP="00D91165">
      <w:pPr>
        <w:rPr>
          <w:rFonts w:ascii="Times New Roman" w:eastAsia="Times New Roman" w:hAnsi="Times New Roman" w:cs="Times New Roman"/>
          <w:lang w:eastAsia="pt-BR"/>
        </w:rPr>
      </w:pPr>
      <w:r w:rsidRPr="00D91165">
        <w:rPr>
          <w:rFonts w:ascii="Times New Roman" w:eastAsia="Times New Roman" w:hAnsi="Times New Roman" w:cs="Times New Roman"/>
          <w:noProof/>
          <w:lang w:eastAsia="pt-BR"/>
        </w:rPr>
        <w:pict w14:anchorId="32B7E844">
          <v:rect id="_x0000_i1030" alt="" style="width:424.75pt;height:.05pt;mso-width-percent:0;mso-height-percent:0;mso-width-percent:0;mso-height-percent:0" o:hrpct="999" o:hralign="center" o:hrstd="t" o:hr="t" fillcolor="#a0a0a0" stroked="f"/>
        </w:pict>
      </w:r>
    </w:p>
    <w:p w14:paraId="7779A2B5" w14:textId="77777777" w:rsidR="00D91165" w:rsidRPr="00D91165" w:rsidRDefault="00D91165" w:rsidP="00D9116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D91165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Palavras-chave e descritores</w:t>
      </w:r>
    </w:p>
    <w:p w14:paraId="106403A0" w14:textId="77777777" w:rsidR="00D91165" w:rsidRPr="00D91165" w:rsidRDefault="00D91165" w:rsidP="00D9116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</w:pPr>
      <w:r w:rsidRPr="00D91165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Descritores controlados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4"/>
        <w:gridCol w:w="3135"/>
      </w:tblGrid>
      <w:tr w:rsidR="00D91165" w:rsidRPr="00D91165" w14:paraId="6DCBEF8A" w14:textId="77777777" w:rsidTr="00D911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EBCCFE" w14:textId="77777777" w:rsidR="00D91165" w:rsidRPr="00D91165" w:rsidRDefault="00D91165" w:rsidP="00D9116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BR"/>
              </w:rPr>
            </w:pPr>
            <w:proofErr w:type="spellStart"/>
            <w:r w:rsidRPr="00D91165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BR"/>
              </w:rPr>
              <w:t>DeCS</w:t>
            </w:r>
            <w:proofErr w:type="spellEnd"/>
            <w:r w:rsidRPr="00D91165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BR"/>
              </w:rPr>
              <w:t xml:space="preserve"> — português</w:t>
            </w:r>
          </w:p>
        </w:tc>
        <w:tc>
          <w:tcPr>
            <w:tcW w:w="0" w:type="auto"/>
            <w:vAlign w:val="center"/>
            <w:hideMark/>
          </w:tcPr>
          <w:p w14:paraId="5C240B22" w14:textId="77777777" w:rsidR="00D91165" w:rsidRPr="00D91165" w:rsidRDefault="00D91165" w:rsidP="00D9116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BR"/>
              </w:rPr>
            </w:pPr>
            <w:proofErr w:type="spellStart"/>
            <w:r w:rsidRPr="00D91165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BR"/>
              </w:rPr>
              <w:t>MeSH</w:t>
            </w:r>
            <w:proofErr w:type="spellEnd"/>
            <w:r w:rsidRPr="00D91165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BR"/>
              </w:rPr>
              <w:t xml:space="preserve"> — inglês</w:t>
            </w:r>
          </w:p>
        </w:tc>
      </w:tr>
      <w:tr w:rsidR="00D91165" w:rsidRPr="00D91165" w14:paraId="1E6B5519" w14:textId="77777777" w:rsidTr="00D911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17951" w14:textId="77777777" w:rsidR="00D91165" w:rsidRPr="00D91165" w:rsidRDefault="00D91165" w:rsidP="00D91165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D91165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Traumatismos da Coluna Vertebral</w:t>
            </w:r>
          </w:p>
        </w:tc>
        <w:tc>
          <w:tcPr>
            <w:tcW w:w="0" w:type="auto"/>
            <w:vAlign w:val="center"/>
            <w:hideMark/>
          </w:tcPr>
          <w:p w14:paraId="0A87FFC1" w14:textId="77777777" w:rsidR="00D91165" w:rsidRPr="00D91165" w:rsidRDefault="00D91165" w:rsidP="00D91165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proofErr w:type="spellStart"/>
            <w:r w:rsidRPr="00D91165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Spinal</w:t>
            </w:r>
            <w:proofErr w:type="spellEnd"/>
            <w:r w:rsidRPr="00D91165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 xml:space="preserve"> Injuries</w:t>
            </w:r>
          </w:p>
        </w:tc>
      </w:tr>
      <w:tr w:rsidR="00D91165" w:rsidRPr="00D91165" w14:paraId="5F61E2A2" w14:textId="77777777" w:rsidTr="00D911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C6C96" w14:textId="77777777" w:rsidR="00D91165" w:rsidRPr="00D91165" w:rsidRDefault="00D91165" w:rsidP="00D91165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D91165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Fraturas da Coluna Vertebral</w:t>
            </w:r>
          </w:p>
        </w:tc>
        <w:tc>
          <w:tcPr>
            <w:tcW w:w="0" w:type="auto"/>
            <w:vAlign w:val="center"/>
            <w:hideMark/>
          </w:tcPr>
          <w:p w14:paraId="6FCE7B6C" w14:textId="77777777" w:rsidR="00D91165" w:rsidRPr="00D91165" w:rsidRDefault="00D91165" w:rsidP="00D91165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proofErr w:type="spellStart"/>
            <w:r w:rsidRPr="00D91165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Spinal</w:t>
            </w:r>
            <w:proofErr w:type="spellEnd"/>
            <w:r w:rsidRPr="00D91165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 xml:space="preserve"> </w:t>
            </w:r>
            <w:proofErr w:type="spellStart"/>
            <w:r w:rsidRPr="00D91165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Fractures</w:t>
            </w:r>
            <w:proofErr w:type="spellEnd"/>
          </w:p>
        </w:tc>
      </w:tr>
      <w:tr w:rsidR="00D91165" w:rsidRPr="00D91165" w14:paraId="66260908" w14:textId="77777777" w:rsidTr="00D911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03931" w14:textId="77777777" w:rsidR="00D91165" w:rsidRPr="00D91165" w:rsidRDefault="00D91165" w:rsidP="00D91165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D91165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Vértebras Cervicais</w:t>
            </w:r>
          </w:p>
        </w:tc>
        <w:tc>
          <w:tcPr>
            <w:tcW w:w="0" w:type="auto"/>
            <w:vAlign w:val="center"/>
            <w:hideMark/>
          </w:tcPr>
          <w:p w14:paraId="3FDEEC8F" w14:textId="77777777" w:rsidR="00D91165" w:rsidRPr="00D91165" w:rsidRDefault="00D91165" w:rsidP="00D91165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D91165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 xml:space="preserve">Cervical </w:t>
            </w:r>
            <w:proofErr w:type="spellStart"/>
            <w:r w:rsidRPr="00D91165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Vertebrae</w:t>
            </w:r>
            <w:proofErr w:type="spellEnd"/>
          </w:p>
        </w:tc>
      </w:tr>
      <w:tr w:rsidR="00D91165" w:rsidRPr="00D91165" w14:paraId="063D0CBE" w14:textId="77777777" w:rsidTr="00D911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56500" w14:textId="77777777" w:rsidR="00D91165" w:rsidRPr="00D91165" w:rsidRDefault="00D91165" w:rsidP="00D91165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D91165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Traumatismos da Medula Espinal</w:t>
            </w:r>
          </w:p>
        </w:tc>
        <w:tc>
          <w:tcPr>
            <w:tcW w:w="0" w:type="auto"/>
            <w:vAlign w:val="center"/>
            <w:hideMark/>
          </w:tcPr>
          <w:p w14:paraId="07709CD3" w14:textId="77777777" w:rsidR="00D91165" w:rsidRPr="00D91165" w:rsidRDefault="00D91165" w:rsidP="00D91165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proofErr w:type="spellStart"/>
            <w:r w:rsidRPr="00D91165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Spinal</w:t>
            </w:r>
            <w:proofErr w:type="spellEnd"/>
            <w:r w:rsidRPr="00D91165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 xml:space="preserve"> Cord Injuries</w:t>
            </w:r>
          </w:p>
        </w:tc>
      </w:tr>
      <w:tr w:rsidR="00D91165" w:rsidRPr="00D91165" w14:paraId="203C11C9" w14:textId="77777777" w:rsidTr="00D911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E9070" w14:textId="77777777" w:rsidR="00D91165" w:rsidRPr="00D91165" w:rsidRDefault="00D91165" w:rsidP="00D91165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D91165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Luxações Articulares</w:t>
            </w:r>
          </w:p>
        </w:tc>
        <w:tc>
          <w:tcPr>
            <w:tcW w:w="0" w:type="auto"/>
            <w:vAlign w:val="center"/>
            <w:hideMark/>
          </w:tcPr>
          <w:p w14:paraId="02981A78" w14:textId="77777777" w:rsidR="00D91165" w:rsidRPr="00D91165" w:rsidRDefault="00D91165" w:rsidP="00D91165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D91165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 xml:space="preserve">Joint </w:t>
            </w:r>
            <w:proofErr w:type="spellStart"/>
            <w:r w:rsidRPr="00D91165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Dislocations</w:t>
            </w:r>
            <w:proofErr w:type="spellEnd"/>
          </w:p>
        </w:tc>
      </w:tr>
      <w:tr w:rsidR="00D91165" w:rsidRPr="00D91165" w14:paraId="6DA87FE2" w14:textId="77777777" w:rsidTr="00D911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31B99" w14:textId="77777777" w:rsidR="00D91165" w:rsidRPr="00D91165" w:rsidRDefault="00D91165" w:rsidP="00D91165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D91165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Tomografia Computadorizada por Raios X</w:t>
            </w:r>
          </w:p>
        </w:tc>
        <w:tc>
          <w:tcPr>
            <w:tcW w:w="0" w:type="auto"/>
            <w:vAlign w:val="center"/>
            <w:hideMark/>
          </w:tcPr>
          <w:p w14:paraId="2FC68351" w14:textId="77777777" w:rsidR="00D91165" w:rsidRPr="00D91165" w:rsidRDefault="00D91165" w:rsidP="00D91165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proofErr w:type="spellStart"/>
            <w:r w:rsidRPr="00D91165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Tomography</w:t>
            </w:r>
            <w:proofErr w:type="spellEnd"/>
            <w:r w:rsidRPr="00D91165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 xml:space="preserve">, X-Ray </w:t>
            </w:r>
            <w:proofErr w:type="spellStart"/>
            <w:r w:rsidRPr="00D91165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Computed</w:t>
            </w:r>
            <w:proofErr w:type="spellEnd"/>
          </w:p>
        </w:tc>
      </w:tr>
      <w:tr w:rsidR="00D91165" w:rsidRPr="00D91165" w14:paraId="1149C998" w14:textId="77777777" w:rsidTr="00D911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EE98C" w14:textId="77777777" w:rsidR="00D91165" w:rsidRPr="00D91165" w:rsidRDefault="00D91165" w:rsidP="00D91165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D91165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Imageamento por Ressonância Magnética</w:t>
            </w:r>
          </w:p>
        </w:tc>
        <w:tc>
          <w:tcPr>
            <w:tcW w:w="0" w:type="auto"/>
            <w:vAlign w:val="center"/>
            <w:hideMark/>
          </w:tcPr>
          <w:p w14:paraId="2C92A828" w14:textId="77777777" w:rsidR="00D91165" w:rsidRPr="00D91165" w:rsidRDefault="00D91165" w:rsidP="00D91165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proofErr w:type="spellStart"/>
            <w:r w:rsidRPr="00D91165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Magnetic</w:t>
            </w:r>
            <w:proofErr w:type="spellEnd"/>
            <w:r w:rsidRPr="00D91165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 xml:space="preserve"> </w:t>
            </w:r>
            <w:proofErr w:type="spellStart"/>
            <w:r w:rsidRPr="00D91165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Resonance</w:t>
            </w:r>
            <w:proofErr w:type="spellEnd"/>
            <w:r w:rsidRPr="00D91165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 xml:space="preserve"> </w:t>
            </w:r>
            <w:proofErr w:type="spellStart"/>
            <w:r w:rsidRPr="00D91165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Imaging</w:t>
            </w:r>
            <w:proofErr w:type="spellEnd"/>
          </w:p>
        </w:tc>
      </w:tr>
      <w:tr w:rsidR="00D91165" w:rsidRPr="00D91165" w14:paraId="5B9697D0" w14:textId="77777777" w:rsidTr="00D911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7957F" w14:textId="77777777" w:rsidR="00D91165" w:rsidRPr="00D91165" w:rsidRDefault="00D91165" w:rsidP="00D91165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D91165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Fusão Vertebral</w:t>
            </w:r>
          </w:p>
        </w:tc>
        <w:tc>
          <w:tcPr>
            <w:tcW w:w="0" w:type="auto"/>
            <w:vAlign w:val="center"/>
            <w:hideMark/>
          </w:tcPr>
          <w:p w14:paraId="41BF1BB4" w14:textId="77777777" w:rsidR="00D91165" w:rsidRPr="00D91165" w:rsidRDefault="00D91165" w:rsidP="00D91165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proofErr w:type="spellStart"/>
            <w:r w:rsidRPr="00D91165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Spinal</w:t>
            </w:r>
            <w:proofErr w:type="spellEnd"/>
            <w:r w:rsidRPr="00D91165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 xml:space="preserve"> Fusion</w:t>
            </w:r>
          </w:p>
        </w:tc>
      </w:tr>
    </w:tbl>
    <w:p w14:paraId="45A8FD65" w14:textId="1DB5132D" w:rsidR="00D91165" w:rsidRPr="00D91165" w:rsidRDefault="00D91165" w:rsidP="00D9116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</w:p>
    <w:p w14:paraId="7F0DF290" w14:textId="77777777" w:rsidR="00D91165" w:rsidRPr="00D91165" w:rsidRDefault="00D91165" w:rsidP="00D9116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</w:pPr>
      <w:r w:rsidRPr="00D91165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Palavras-chave livres adicionais</w:t>
      </w:r>
    </w:p>
    <w:p w14:paraId="551F8D93" w14:textId="77777777" w:rsidR="00D91165" w:rsidRPr="00D91165" w:rsidRDefault="00D91165" w:rsidP="00D9116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D91165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 xml:space="preserve">Coluna cervical </w:t>
      </w:r>
      <w:proofErr w:type="spellStart"/>
      <w:r w:rsidRPr="00D91165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subaxial</w:t>
      </w:r>
      <w:proofErr w:type="spellEnd"/>
      <w:r w:rsidRPr="00D91165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 xml:space="preserve">; classificação AO </w:t>
      </w:r>
      <w:proofErr w:type="spellStart"/>
      <w:r w:rsidRPr="00D91165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Spine</w:t>
      </w:r>
      <w:proofErr w:type="spellEnd"/>
      <w:r w:rsidRPr="00D91165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 xml:space="preserve">; SLIC; complexo disco-ligamentar; lesão </w:t>
      </w:r>
      <w:proofErr w:type="spellStart"/>
      <w:r w:rsidRPr="00D91165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facetária</w:t>
      </w:r>
      <w:proofErr w:type="spellEnd"/>
      <w:r w:rsidRPr="00D91165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 xml:space="preserve"> cervical; instabilidade cervical traumática; luxação cervical; transição </w:t>
      </w:r>
      <w:proofErr w:type="spellStart"/>
      <w:r w:rsidRPr="00D91165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cervicotorácica</w:t>
      </w:r>
      <w:proofErr w:type="spellEnd"/>
      <w:r w:rsidRPr="00D91165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.</w:t>
      </w:r>
    </w:p>
    <w:p w14:paraId="368725A2" w14:textId="77777777" w:rsidR="00D91165" w:rsidRPr="00D91165" w:rsidRDefault="00A502EA" w:rsidP="00D91165">
      <w:pPr>
        <w:rPr>
          <w:rFonts w:ascii="Times New Roman" w:eastAsia="Times New Roman" w:hAnsi="Times New Roman" w:cs="Times New Roman"/>
          <w:lang w:eastAsia="pt-BR"/>
        </w:rPr>
      </w:pPr>
      <w:r w:rsidRPr="00D91165">
        <w:rPr>
          <w:rFonts w:ascii="Times New Roman" w:eastAsia="Times New Roman" w:hAnsi="Times New Roman" w:cs="Times New Roman"/>
          <w:noProof/>
          <w:lang w:eastAsia="pt-BR"/>
        </w:rPr>
        <w:pict w14:anchorId="54565803">
          <v:rect id="_x0000_i1029" alt="" style="width:424.75pt;height:.05pt;mso-width-percent:0;mso-height-percent:0;mso-width-percent:0;mso-height-percent:0" o:hrpct="999" o:hralign="center" o:hrstd="t" o:hr="t" fillcolor="#a0a0a0" stroked="f"/>
        </w:pict>
      </w:r>
    </w:p>
    <w:p w14:paraId="79BB7A89" w14:textId="77777777" w:rsidR="00D91165" w:rsidRPr="00D91165" w:rsidRDefault="00D91165" w:rsidP="00D9116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</w:pPr>
      <w:r w:rsidRPr="00D9116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  <w:lastRenderedPageBreak/>
        <w:t>Três cards de destaque</w:t>
      </w:r>
    </w:p>
    <w:p w14:paraId="2858CCF0" w14:textId="77777777" w:rsidR="00D91165" w:rsidRPr="00D91165" w:rsidRDefault="00D91165" w:rsidP="00D9116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D91165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Card 1 — Conceito essencial</w:t>
      </w:r>
    </w:p>
    <w:p w14:paraId="71BACDB4" w14:textId="77777777" w:rsidR="00D91165" w:rsidRPr="00D91165" w:rsidRDefault="00D91165" w:rsidP="00D9116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</w:pPr>
      <w:r w:rsidRPr="00D91165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A lesão é mais que osso</w:t>
      </w:r>
    </w:p>
    <w:p w14:paraId="26726D46" w14:textId="77777777" w:rsidR="00D91165" w:rsidRPr="00D91165" w:rsidRDefault="00D91165" w:rsidP="00D9116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A estabilidade cervical depende da integração entre corpos vertebrais, discos, facetas e ligamentos. Uma imagem óssea pouco exuberante pode coexistir com falha importante das estruturas tensionais. Por isso, compreender o complexo disco-ligamentar é tão importante quanto reconhecer a própria fratura.</w:t>
      </w:r>
    </w:p>
    <w:p w14:paraId="0ED6EC13" w14:textId="77777777" w:rsidR="00D91165" w:rsidRPr="00D91165" w:rsidRDefault="00A502EA" w:rsidP="00D91165">
      <w:pPr>
        <w:rPr>
          <w:rFonts w:ascii="Times New Roman" w:eastAsia="Times New Roman" w:hAnsi="Times New Roman" w:cs="Times New Roman"/>
          <w:lang w:eastAsia="pt-BR"/>
        </w:rPr>
      </w:pPr>
      <w:r w:rsidRPr="00D91165">
        <w:rPr>
          <w:rFonts w:ascii="Times New Roman" w:eastAsia="Times New Roman" w:hAnsi="Times New Roman" w:cs="Times New Roman"/>
          <w:noProof/>
          <w:lang w:eastAsia="pt-BR"/>
        </w:rPr>
        <w:pict w14:anchorId="0F7B46BB">
          <v:rect id="_x0000_i1028" alt="" style="width:424.75pt;height:.05pt;mso-width-percent:0;mso-height-percent:0;mso-width-percent:0;mso-height-percent:0" o:hrpct="999" o:hralign="center" o:hrstd="t" o:hr="t" fillcolor="#a0a0a0" stroked="f"/>
        </w:pict>
      </w:r>
    </w:p>
    <w:p w14:paraId="662B5FFA" w14:textId="77777777" w:rsidR="00D91165" w:rsidRPr="00D91165" w:rsidRDefault="00D91165" w:rsidP="00D9116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D91165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Card 2 — Decisão clínica</w:t>
      </w:r>
    </w:p>
    <w:p w14:paraId="290DFA2D" w14:textId="77777777" w:rsidR="00D91165" w:rsidRPr="00D91165" w:rsidRDefault="00D91165" w:rsidP="00D9116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</w:pPr>
      <w:r w:rsidRPr="00D91165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Classifique todos os componentes</w:t>
      </w:r>
    </w:p>
    <w:p w14:paraId="18434998" w14:textId="77777777" w:rsidR="00D91165" w:rsidRPr="00D91165" w:rsidRDefault="00D91165" w:rsidP="00D9116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 xml:space="preserve">O sistema AO não descreve apenas a morfologia principal. Lesões 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facetárias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, condição neurológica e modificadores acrescentam informações que podem mudar a interpretação do caso. O valor da classificação está em organizar a comunicação e o raciocínio, não em determinar isoladamente a indicação cirúrgica.</w:t>
      </w:r>
    </w:p>
    <w:p w14:paraId="686B1D5D" w14:textId="77777777" w:rsidR="00D91165" w:rsidRPr="00D91165" w:rsidRDefault="00A502EA" w:rsidP="00D91165">
      <w:pPr>
        <w:rPr>
          <w:rFonts w:ascii="Times New Roman" w:eastAsia="Times New Roman" w:hAnsi="Times New Roman" w:cs="Times New Roman"/>
          <w:lang w:eastAsia="pt-BR"/>
        </w:rPr>
      </w:pPr>
      <w:r w:rsidRPr="00D91165">
        <w:rPr>
          <w:rFonts w:ascii="Times New Roman" w:eastAsia="Times New Roman" w:hAnsi="Times New Roman" w:cs="Times New Roman"/>
          <w:noProof/>
          <w:lang w:eastAsia="pt-BR"/>
        </w:rPr>
        <w:pict w14:anchorId="07552D08">
          <v:rect id="_x0000_i1027" alt="" style="width:424.75pt;height:.05pt;mso-width-percent:0;mso-height-percent:0;mso-width-percent:0;mso-height-percent:0" o:hrpct="999" o:hralign="center" o:hrstd="t" o:hr="t" fillcolor="#a0a0a0" stroked="f"/>
        </w:pict>
      </w:r>
    </w:p>
    <w:p w14:paraId="70526E1F" w14:textId="77777777" w:rsidR="00D91165" w:rsidRPr="00D91165" w:rsidRDefault="00D91165" w:rsidP="00D9116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D91165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Card 3 — Pérola ou alerta</w:t>
      </w:r>
    </w:p>
    <w:p w14:paraId="25578656" w14:textId="77777777" w:rsidR="00D91165" w:rsidRPr="00D91165" w:rsidRDefault="00D91165" w:rsidP="00D9116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</w:pPr>
      <w:r w:rsidRPr="00D91165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Não confunda imagem com estabilidade</w:t>
      </w:r>
    </w:p>
    <w:p w14:paraId="29C95A73" w14:textId="77777777" w:rsidR="00D91165" w:rsidRPr="00D91165" w:rsidRDefault="00D91165" w:rsidP="00D9116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Tomografia adequada pode definir muito bem a fratura, mas algumas perguntas permanecem ligamentares ou neurais. Da mesma forma, alterações na ressonância nem sempre representam instabilidade clinicamente relevante. Utilize cada método para responder uma dúvida específica e mantenha a correlação com mecanismo, alinhamento e exame neurológico.</w:t>
      </w:r>
    </w:p>
    <w:p w14:paraId="2C9FB303" w14:textId="77777777" w:rsidR="00D91165" w:rsidRPr="00D91165" w:rsidRDefault="00A502EA" w:rsidP="00D91165">
      <w:pPr>
        <w:rPr>
          <w:rFonts w:ascii="Times New Roman" w:eastAsia="Times New Roman" w:hAnsi="Times New Roman" w:cs="Times New Roman"/>
          <w:lang w:eastAsia="pt-BR"/>
        </w:rPr>
      </w:pPr>
      <w:r w:rsidRPr="00D91165">
        <w:rPr>
          <w:rFonts w:ascii="Times New Roman" w:eastAsia="Times New Roman" w:hAnsi="Times New Roman" w:cs="Times New Roman"/>
          <w:noProof/>
          <w:lang w:eastAsia="pt-BR"/>
        </w:rPr>
        <w:pict w14:anchorId="69AD4F1D">
          <v:rect id="_x0000_i1026" alt="" style="width:424.75pt;height:.05pt;mso-width-percent:0;mso-height-percent:0;mso-width-percent:0;mso-height-percent:0" o:hrpct="999" o:hralign="center" o:hrstd="t" o:hr="t" fillcolor="#a0a0a0" stroked="f"/>
        </w:pict>
      </w:r>
    </w:p>
    <w:p w14:paraId="05A34DA4" w14:textId="77777777" w:rsidR="00D91165" w:rsidRPr="00D91165" w:rsidRDefault="00D91165" w:rsidP="00D9116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</w:pPr>
      <w:r w:rsidRPr="00D9116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  <w:t>Referências bibliográficas</w:t>
      </w:r>
    </w:p>
    <w:p w14:paraId="6D7F69EC" w14:textId="77777777" w:rsidR="00D91165" w:rsidRPr="00D91165" w:rsidRDefault="00D91165" w:rsidP="00D9116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proofErr w:type="spellStart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Montesano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 xml:space="preserve"> PX, 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Jauch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 xml:space="preserve"> E, 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Jonsson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 xml:space="preserve"> H Jr. </w:t>
      </w:r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Anatomic and biomechanical study of posterior cervical spine plate arthrodesis: an evaluation of two different techniques of screw placement. </w:t>
      </w:r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 xml:space="preserve">J 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Spinal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Disord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 xml:space="preserve">. </w:t>
      </w:r>
      <w:proofErr w:type="gramStart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1992;5:301</w:t>
      </w:r>
      <w:proofErr w:type="gramEnd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-5.</w:t>
      </w:r>
    </w:p>
    <w:p w14:paraId="4C0F7E37" w14:textId="77777777" w:rsidR="00D91165" w:rsidRPr="00D91165" w:rsidRDefault="00D91165" w:rsidP="00D9116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proofErr w:type="spellStart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Vaccaro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 xml:space="preserve"> AR, 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Betz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 xml:space="preserve"> RR, 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Zeidhman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 xml:space="preserve"> SH. </w:t>
      </w:r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Principles and practice of spinal surgery. </w:t>
      </w:r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 xml:space="preserve">St. Louis: 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Mosby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; 2003.</w:t>
      </w:r>
    </w:p>
    <w:p w14:paraId="0969EB03" w14:textId="77777777" w:rsidR="00D91165" w:rsidRPr="00D91165" w:rsidRDefault="00D91165" w:rsidP="00D9116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Jones EL, Heller JG, 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t>Silcox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DH, Hutton WC. Cervical pedicle screws versus lateral mass screws. 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Anatomic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feasibility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and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biomechanical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comparison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 xml:space="preserve">. 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Spine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 xml:space="preserve">. </w:t>
      </w:r>
      <w:proofErr w:type="gramStart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1997;22:977</w:t>
      </w:r>
      <w:proofErr w:type="gramEnd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-82.</w:t>
      </w:r>
    </w:p>
    <w:p w14:paraId="3F697C33" w14:textId="77777777" w:rsidR="00D91165" w:rsidRPr="00D91165" w:rsidRDefault="00D91165" w:rsidP="00D9116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lastRenderedPageBreak/>
        <w:t xml:space="preserve">Panjabi MM, 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t>Duranceau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J, Goel V, 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t>Oxland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T, Takata K. Cervical human vertebrae. Quantitative three-dimensional anatomy of the middle and lower regions. 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Spine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.</w:t>
      </w:r>
    </w:p>
    <w:p w14:paraId="4CCE8D83" w14:textId="77777777" w:rsidR="00D91165" w:rsidRPr="00D91165" w:rsidRDefault="00D91165" w:rsidP="00D9116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Ulrich C, 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t>Arand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M, 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t>Nothwang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J. Internal fixation on the lower cervical spine—biomechanics and clinical practice of procedures and implants. 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Eur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Spine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 xml:space="preserve"> J. </w:t>
      </w:r>
      <w:proofErr w:type="gramStart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2001;10:88</w:t>
      </w:r>
      <w:proofErr w:type="gramEnd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-100.</w:t>
      </w:r>
    </w:p>
    <w:p w14:paraId="2B17C464" w14:textId="77777777" w:rsidR="00D91165" w:rsidRPr="00D91165" w:rsidRDefault="00D91165" w:rsidP="00D9116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proofErr w:type="spellStart"/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t>Jeanneret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B, 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t>Gebhard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JS, 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t>Magerl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F. Transpedicular screw fixation of articular mass fracture-separation: results of an anatomical study and operative technique. </w:t>
      </w:r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 xml:space="preserve">J 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Spinal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Disord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 xml:space="preserve">. </w:t>
      </w:r>
      <w:proofErr w:type="gramStart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1994;7:222</w:t>
      </w:r>
      <w:proofErr w:type="gramEnd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-9.</w:t>
      </w:r>
    </w:p>
    <w:p w14:paraId="49D5F616" w14:textId="77777777" w:rsidR="00D91165" w:rsidRPr="00D91165" w:rsidRDefault="00D91165" w:rsidP="00D9116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proofErr w:type="spellStart"/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t>Mainan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DJ, 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t>Sances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A Jr, 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t>Mykleburst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JB, Larson SJ, 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t>Houterman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C, 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t>Chilbert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M, et al. Compression injuries of the cervical spine: a biomechanical analysis. Neurosurgery. </w:t>
      </w:r>
      <w:proofErr w:type="gramStart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1983;13:254</w:t>
      </w:r>
      <w:proofErr w:type="gramEnd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-60.</w:t>
      </w:r>
    </w:p>
    <w:p w14:paraId="304E87F4" w14:textId="77777777" w:rsidR="00D91165" w:rsidRPr="00D91165" w:rsidRDefault="00D91165" w:rsidP="00D9116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proofErr w:type="spellStart"/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t>Seves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PE. Biomechanics of the injured cervical spine. In: Vaccaro AR, editor. Fractures of the cervical, </w:t>
      </w:r>
      <w:proofErr w:type="gramStart"/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t>thoracic</w:t>
      </w:r>
      <w:proofErr w:type="gramEnd"/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and lumbar spine. </w:t>
      </w:r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 xml:space="preserve">New York: Marcel 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Denker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; 2003. p. 23-44.</w:t>
      </w:r>
    </w:p>
    <w:p w14:paraId="4FC26CF0" w14:textId="77777777" w:rsidR="00D91165" w:rsidRPr="00D91165" w:rsidRDefault="00D91165" w:rsidP="00D9116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US" w:eastAsia="pt-BR"/>
        </w:rPr>
      </w:pPr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 xml:space="preserve">Louis R. 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Les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theories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 xml:space="preserve"> de 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l'instabilité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 xml:space="preserve">. </w:t>
      </w:r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Rev 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t>Chir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t>Orthop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Reparative 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t>Appar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Mot. </w:t>
      </w:r>
      <w:proofErr w:type="gramStart"/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t>1977;63:423</w:t>
      </w:r>
      <w:proofErr w:type="gramEnd"/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t>-5.</w:t>
      </w:r>
    </w:p>
    <w:p w14:paraId="70DA1019" w14:textId="77777777" w:rsidR="00D91165" w:rsidRPr="00D91165" w:rsidRDefault="00D91165" w:rsidP="00D9116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Raynor RB, Kingman AF. Cervical spine injuries. </w:t>
      </w:r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 xml:space="preserve">J Trauma. </w:t>
      </w:r>
      <w:proofErr w:type="gramStart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1968;8:597</w:t>
      </w:r>
      <w:proofErr w:type="gramEnd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-604.</w:t>
      </w:r>
    </w:p>
    <w:p w14:paraId="78A871E9" w14:textId="77777777" w:rsidR="00D91165" w:rsidRPr="00D91165" w:rsidRDefault="00D91165" w:rsidP="00D9116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Louis R. Surgery of the spine. </w:t>
      </w:r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Berlin: Springer-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Verlag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; 1983.</w:t>
      </w:r>
    </w:p>
    <w:p w14:paraId="7126E7F6" w14:textId="77777777" w:rsidR="00D91165" w:rsidRPr="00D91165" w:rsidRDefault="00D91165" w:rsidP="00D9116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White AA 3rd, Johnson RM, Panjabi MM, Southwick WO. Biomechanical analysis of clinical stability in the cervical spine. 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Clin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Orthop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Relat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 xml:space="preserve"> Res. 1975;(109):85-96.</w:t>
      </w:r>
    </w:p>
    <w:p w14:paraId="7C9DACFE" w14:textId="77777777" w:rsidR="00D91165" w:rsidRPr="00D91165" w:rsidRDefault="00D91165" w:rsidP="00D9116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Hartman J. Anatomy and clinical significance of the uncinate process and uncovertebral joint: a comprehensive review. 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Clin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 xml:space="preserve"> Anat. 2014;27(3):431-40. doi:10.1002/ca.22317.</w:t>
      </w:r>
    </w:p>
    <w:p w14:paraId="48028A61" w14:textId="77777777" w:rsidR="00D91165" w:rsidRPr="00D91165" w:rsidRDefault="00D91165" w:rsidP="00D9116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proofErr w:type="spellStart"/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t>Núñez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-Pereira S, 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t>Hitzl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W, 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t>Bullmann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V, Meier O, Koller H. Sagittal balance of the cervical spine: an analysis of 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t>occipitocervical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and spinopelvic interdependence, with C-7 slope as a marker of cervical and spinopelvic alignment. </w:t>
      </w:r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 xml:space="preserve">J 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Neurosurg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Spine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. 2015;23(1):16-23. doi:10.3171/2014.</w:t>
      </w:r>
      <w:proofErr w:type="gramStart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11.SPINE</w:t>
      </w:r>
      <w:proofErr w:type="gramEnd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14368.</w:t>
      </w:r>
    </w:p>
    <w:p w14:paraId="248379B1" w14:textId="77777777" w:rsidR="00D91165" w:rsidRPr="00D91165" w:rsidRDefault="00D91165" w:rsidP="00D9116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proofErr w:type="spellStart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Patwardhan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 xml:space="preserve"> AG, 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Khayatzadeh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 xml:space="preserve"> S, Nguyen NL, 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Havey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 xml:space="preserve"> RM, 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Voronov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 xml:space="preserve"> LI, 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Muriuki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 xml:space="preserve"> MG, et al. </w:t>
      </w:r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Is cervical sagittal imbalance a risk factor for adjacent segment 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t>pathomechanics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after multilevel fusion? 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Spine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 xml:space="preserve"> (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Phila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Pa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 xml:space="preserve"> 1976). 2015 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Nov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 xml:space="preserve"> 30. [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Epub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ahead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of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 xml:space="preserve"> print].</w:t>
      </w:r>
    </w:p>
    <w:p w14:paraId="62E03598" w14:textId="77777777" w:rsidR="00D91165" w:rsidRPr="00D91165" w:rsidRDefault="00D91165" w:rsidP="00D9116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Caracterização clínica e das situações de fratura da coluna vertebral no município de Ribeirão Preto, propostas para um programa de prevenção do trauma raquimedular. Coluna/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Columna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. 2011;10(1):40-3.</w:t>
      </w:r>
    </w:p>
    <w:p w14:paraId="4E74EE32" w14:textId="77777777" w:rsidR="00D91165" w:rsidRPr="00D91165" w:rsidRDefault="00D91165" w:rsidP="00D9116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proofErr w:type="spellStart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Pudles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 xml:space="preserve"> E, Defino HLA, organizadores. A coluna vertebral: conceitos básicos. Porto Alegre: Artmed; 2014. p. 115-116.</w:t>
      </w:r>
    </w:p>
    <w:p w14:paraId="76E2D62B" w14:textId="77777777" w:rsidR="00D91165" w:rsidRPr="00D91165" w:rsidRDefault="00D91165" w:rsidP="00D9116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Allen BL Jr, Ferguson RL, Lehmann TR, O'Brien RP. A mechanistic classification of closed, indirect fractures and dislocations of the lower cervical spine. 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Spine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 xml:space="preserve"> (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Phila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Pa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 xml:space="preserve"> 1976). 1982;7(1):1-27.</w:t>
      </w:r>
    </w:p>
    <w:p w14:paraId="773F1FF0" w14:textId="77777777" w:rsidR="00D91165" w:rsidRPr="00D91165" w:rsidRDefault="00D91165" w:rsidP="00D9116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Vaccaro AR, Hulbert RJ, Patel AA, Fisher C, Dvorak M, Lehman RA, et al. The 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t>subaxial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cervical spine injury classification system: a novel approach to recognize the importance of morphology, neurology, and integrity of the disco-ligamentous complex. 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Spine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 xml:space="preserve">. </w:t>
      </w:r>
      <w:proofErr w:type="gramStart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2007;32:2365</w:t>
      </w:r>
      <w:proofErr w:type="gramEnd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-74.</w:t>
      </w:r>
    </w:p>
    <w:p w14:paraId="4BB91ED1" w14:textId="77777777" w:rsidR="00D91165" w:rsidRPr="00D91165" w:rsidRDefault="00D91165" w:rsidP="00D9116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proofErr w:type="spellStart"/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t>Magerl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F, Aebi M, 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t>Gertzbein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SD, Harms J, Nazarian S. A comprehensive classification of thoracic and lumbar injuries. 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Eur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Spine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 xml:space="preserve"> J. 1994;3(4):184-201.</w:t>
      </w:r>
    </w:p>
    <w:p w14:paraId="17E00FAB" w14:textId="77777777" w:rsidR="00D91165" w:rsidRPr="00D91165" w:rsidRDefault="00D91165" w:rsidP="00D9116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US" w:eastAsia="pt-BR"/>
        </w:rPr>
      </w:pPr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van 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t>Middendorp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JJ, 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t>Audige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L, Hanson B, Chapman JR, 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t>Hosman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AJ. What should an ideal spinal injury classification system consist of? A methodological </w:t>
      </w:r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lastRenderedPageBreak/>
        <w:t xml:space="preserve">review and conceptual proposal for future classifications. 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t>Eur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Spine J. </w:t>
      </w:r>
      <w:proofErr w:type="gramStart"/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t>2010;19:1238</w:t>
      </w:r>
      <w:proofErr w:type="gramEnd"/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t>-49.</w:t>
      </w:r>
    </w:p>
    <w:p w14:paraId="09C5E180" w14:textId="77777777" w:rsidR="00D91165" w:rsidRPr="00D91165" w:rsidRDefault="00D91165" w:rsidP="00D9116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US" w:eastAsia="pt-BR"/>
        </w:rPr>
      </w:pPr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Vaccaro AR, Koerner JD, Radcliff KE, Oner C, Reinhold M, 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t>Schnake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KJ, et al. 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t>AOSpine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t>subaxial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cervical spine injury classification system. 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t>Eur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Spine J. 2015;(2).</w:t>
      </w:r>
    </w:p>
    <w:p w14:paraId="07689ED4" w14:textId="77777777" w:rsidR="00D91165" w:rsidRPr="00D91165" w:rsidRDefault="00D91165" w:rsidP="00D9116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proofErr w:type="spellStart"/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t>Savas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PE. Biomechanics of the injured cervical spine. In: Vaccaro AR, editor. Fractures of the cervical, thoracic, and lumbar spine. </w:t>
      </w:r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New York: Marcel Dekker; 2003. p. 23-44.</w:t>
      </w:r>
    </w:p>
    <w:p w14:paraId="53A1EEC0" w14:textId="77777777" w:rsidR="00D91165" w:rsidRPr="00D91165" w:rsidRDefault="00D91165" w:rsidP="00D9116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White AA, Panjabi MM. Update on the evaluation of instability of the lower cervical spine. </w:t>
      </w:r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 xml:space="preserve">J 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Spinal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Disord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 xml:space="preserve">. </w:t>
      </w:r>
      <w:proofErr w:type="gramStart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1991;4:277</w:t>
      </w:r>
      <w:proofErr w:type="gramEnd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-285.</w:t>
      </w:r>
    </w:p>
    <w:p w14:paraId="06511D63" w14:textId="77777777" w:rsidR="00D91165" w:rsidRPr="00D91165" w:rsidRDefault="00D91165" w:rsidP="00D9116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 xml:space="preserve">Lee JY, Nassr A, 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Eck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 xml:space="preserve"> JC, 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Vaccaro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 xml:space="preserve"> AR. </w:t>
      </w:r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Controversies in the treatment of cervical spine dislocations. 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Spine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 xml:space="preserve"> J. 9(5):418-423.</w:t>
      </w:r>
    </w:p>
    <w:p w14:paraId="70E10613" w14:textId="77777777" w:rsidR="00D91165" w:rsidRPr="00D91165" w:rsidRDefault="00D91165" w:rsidP="00D9116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 xml:space="preserve">Grauer JN, 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Vaccaro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 xml:space="preserve"> AR, Lee JY, Nassr A, 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Dvorak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 xml:space="preserve"> MF, 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Harrop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 xml:space="preserve"> JS, et al. </w:t>
      </w:r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The timing and influence of MRI on the management of patients with cervical facet dislocations remains highly variable: a survey of members of the Spine Trauma Study Group. </w:t>
      </w:r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 xml:space="preserve">J 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Spinal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Disord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 xml:space="preserve"> Tech. 2009;22(2):96-9. doi:10.1097/BSD.0b013e31816a9ebd.</w:t>
      </w:r>
    </w:p>
    <w:p w14:paraId="03B30011" w14:textId="77777777" w:rsidR="00D91165" w:rsidRPr="00D91165" w:rsidRDefault="00D91165" w:rsidP="00D9116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Dunham CM, 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t>Brocker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BP, Collier D, Gemmel D. Risks associated with magnetic resonance imaging and cervical collar comatose, blunt trauma patients with negative comprehensive cervical spine computed tomography and no apparent spinal deficit. 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Clincal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Care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. 2008;12:R89.</w:t>
      </w:r>
    </w:p>
    <w:p w14:paraId="051634B7" w14:textId="77777777" w:rsidR="00D91165" w:rsidRPr="00D91165" w:rsidRDefault="00D91165" w:rsidP="00D9116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proofErr w:type="spellStart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Gelb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 xml:space="preserve"> DE, 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Aarabi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 xml:space="preserve"> B, 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Dhall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 xml:space="preserve"> SS, 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Hurlbert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 xml:space="preserve"> RJ, 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Rozzelle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 xml:space="preserve"> CJ, 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Ryken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 xml:space="preserve"> TC, et al. 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Treatment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of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subaxial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 xml:space="preserve"> cervical 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spinal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 xml:space="preserve"> injuries. 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Neurosurgery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 xml:space="preserve">. </w:t>
      </w:r>
      <w:proofErr w:type="gramStart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2013;72:187</w:t>
      </w:r>
      <w:proofErr w:type="gramEnd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-194.</w:t>
      </w:r>
    </w:p>
    <w:p w14:paraId="3FF10E39" w14:textId="77777777" w:rsidR="00D91165" w:rsidRPr="00D91165" w:rsidRDefault="00D91165" w:rsidP="00D9116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proofErr w:type="spellStart"/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t>Fehlings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MG, Vaccaro A, Wilson JR, Singh A, 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t>Cadotte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DW, Harrop JS, et al. Early versus delayed decompression for traumatic cervical spinal cord injury: results of the Surgical Timing in Acute Spinal Cord Injury Study (STASCIS). 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PLoS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One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. 2012;7(2):e32037.</w:t>
      </w:r>
    </w:p>
    <w:p w14:paraId="1DBB6DF6" w14:textId="77777777" w:rsidR="00D91165" w:rsidRPr="00D91165" w:rsidRDefault="00D91165" w:rsidP="00D9116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Dvorak MF, Fisher CG, 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t>Hoekema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J, et al. Factors predicting motor recovery and functional outcome after traumatic central cord syndrome: a long-term follow-up. 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Spine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 xml:space="preserve">. </w:t>
      </w:r>
      <w:proofErr w:type="gramStart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2005;30:2303</w:t>
      </w:r>
      <w:proofErr w:type="gramEnd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-11.</w:t>
      </w:r>
    </w:p>
    <w:p w14:paraId="3A763442" w14:textId="77777777" w:rsidR="00D91165" w:rsidRPr="00D91165" w:rsidRDefault="00D91165" w:rsidP="00D9116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Yamazaki T, 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t>Yanaka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K, Fujita K, et al. Traumatic central cord syndrome: analysis of factors affecting the outcome. 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Surg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Neurol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 xml:space="preserve">. </w:t>
      </w:r>
      <w:proofErr w:type="gramStart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2005;63:95</w:t>
      </w:r>
      <w:proofErr w:type="gramEnd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-9.</w:t>
      </w:r>
    </w:p>
    <w:p w14:paraId="63BFA32A" w14:textId="77777777" w:rsidR="00D91165" w:rsidRPr="00D91165" w:rsidRDefault="00D91165" w:rsidP="00D9116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Dvorak MF, Fisher CG, 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t>Fehlings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MG, Rampersaud YR, Oner FC, 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t>Aarabi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B, Vaccaro AR. The surgical approach to 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t>subaxial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cervical spine injuries. An evidence-based algorithm based on the SLIC classification system. 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Spine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. 2007;32(23):2620-2629.</w:t>
      </w:r>
    </w:p>
    <w:p w14:paraId="49E35E45" w14:textId="77777777" w:rsidR="00D91165" w:rsidRPr="00D91165" w:rsidRDefault="00D91165" w:rsidP="00D9116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An HS. Cervical spine trauma. 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Spine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 xml:space="preserve">. </w:t>
      </w:r>
      <w:proofErr w:type="gramStart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1998;23:2713</w:t>
      </w:r>
      <w:proofErr w:type="gramEnd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-29.</w:t>
      </w:r>
    </w:p>
    <w:p w14:paraId="32A45901" w14:textId="77777777" w:rsidR="00D91165" w:rsidRPr="00D91165" w:rsidRDefault="00D91165" w:rsidP="00D9116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proofErr w:type="spellStart"/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t>Bohlman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HH. Acute fractures and dislocations of the cervical spine: an analysis of 300 hospitalized patients and review of the literature. </w:t>
      </w:r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 xml:space="preserve">J 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Bone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 xml:space="preserve"> Joint 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Surg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 xml:space="preserve"> Am. </w:t>
      </w:r>
      <w:proofErr w:type="gramStart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1979;61:1119</w:t>
      </w:r>
      <w:proofErr w:type="gramEnd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-42.</w:t>
      </w:r>
    </w:p>
    <w:p w14:paraId="65F75054" w14:textId="77777777" w:rsidR="00D91165" w:rsidRPr="00D91165" w:rsidRDefault="00D91165" w:rsidP="00D9116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Mirza SK, Anderson PA. Injuries of lower cervical spine. In: Browner BD, Jupiter JB, Levine AM, 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t>Traffon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PG, editors. 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Skeletal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 xml:space="preserve"> trauma. 3rd ed. Philadelphia: Saunders; 2003. p. 814-74.</w:t>
      </w:r>
    </w:p>
    <w:p w14:paraId="5BD1A5F8" w14:textId="77777777" w:rsidR="00D91165" w:rsidRPr="00D91165" w:rsidRDefault="00D91165" w:rsidP="00D9116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proofErr w:type="spellStart"/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t>Middendoro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JJ, 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t>Slooff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WBM, 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t>Nellestein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WR, Oner C. Incidence of and risk factors for complications associated with halo-vest 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t>immobilizatios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: a prospective, descriptive cohort study of 239 patients. </w:t>
      </w:r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 xml:space="preserve">J 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Bone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 xml:space="preserve"> Joint 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Surg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 xml:space="preserve"> Am. 2009;91(1):71-9.</w:t>
      </w:r>
    </w:p>
    <w:p w14:paraId="14D8F3D0" w14:textId="77777777" w:rsidR="00D91165" w:rsidRPr="00D91165" w:rsidRDefault="00D91165" w:rsidP="00D9116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Caron T, Bransford R, Nguyen Q, 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t>Agel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J, Chapman J, 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t>Bellabarba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C. Spine fractures in patients with ankylosing spinal disorders. 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Spine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 xml:space="preserve"> (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Phila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Pa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 xml:space="preserve"> 1976). 2010;35(11):E458-64. doi:10.1097/BRS.0b013e3181cc764f.</w:t>
      </w:r>
    </w:p>
    <w:p w14:paraId="620E286F" w14:textId="77777777" w:rsidR="00D91165" w:rsidRPr="00D91165" w:rsidRDefault="00D91165" w:rsidP="00D9116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proofErr w:type="spellStart"/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lastRenderedPageBreak/>
        <w:t>Lifeso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RM, Colucci MA. Anterior fusion for rotationally unstable cervical spine fractures. 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Spine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. 25(16):2028-2034.</w:t>
      </w:r>
    </w:p>
    <w:p w14:paraId="54321B2A" w14:textId="77777777" w:rsidR="00D91165" w:rsidRPr="00D91165" w:rsidRDefault="00D91165" w:rsidP="00D9116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proofErr w:type="spellStart"/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t>Brodke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DS, Anderson PA, Newell DW, Grady MS, Chapman JR. Comparison of anterior and posterior approaches in cervical spinal cord injuries. 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Spinal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Disord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 xml:space="preserve"> Tech. 2003;16(3):229-35.</w:t>
      </w:r>
    </w:p>
    <w:p w14:paraId="2149093B" w14:textId="77777777" w:rsidR="00D91165" w:rsidRPr="00D91165" w:rsidRDefault="00D91165" w:rsidP="00D9116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proofErr w:type="spellStart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Hast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 xml:space="preserve"> RA, 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Vaccaro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 xml:space="preserve"> AR, 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Nachwalter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 xml:space="preserve"> RS. </w:t>
      </w:r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Cervical facet dislocation: when is magnetic resonance imaging indicated? 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Spine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 xml:space="preserve">. </w:t>
      </w:r>
      <w:proofErr w:type="gramStart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2002;27:116</w:t>
      </w:r>
      <w:proofErr w:type="gramEnd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-8.</w:t>
      </w:r>
    </w:p>
    <w:p w14:paraId="09F3D04A" w14:textId="77777777" w:rsidR="00D91165" w:rsidRPr="00D91165" w:rsidRDefault="00D91165" w:rsidP="00D9116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Vaccaro AR, 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t>Falatyn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SP, Flanders AE, Balderston RA, Northrup BE, Cotler JM. Magnetic resonance evaluation of the intervertebral disc, spinal ligaments, and spinal cord before and after closed traction reduction of cervical spine dislocations. 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Spine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 xml:space="preserve"> (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Phila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Pa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 xml:space="preserve"> 1976). 1999;24(12):1210-7.</w:t>
      </w:r>
    </w:p>
    <w:p w14:paraId="698A4EAB" w14:textId="77777777" w:rsidR="00D91165" w:rsidRPr="00D91165" w:rsidRDefault="00D91165" w:rsidP="00D9116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Gelb DE, Hadley MN, 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t>Aarabi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B, 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t>Dhall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SS, 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t>Hurlbert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RJ, 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t>Rozzelle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CJ, et al. Initial closed reduction of cervical spinal fracture-dislocation injuries. Neurosurgery. </w:t>
      </w:r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 xml:space="preserve">2013;72 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Suppl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 xml:space="preserve"> 2:73-83.</w:t>
      </w:r>
    </w:p>
    <w:p w14:paraId="79F8E144" w14:textId="77777777" w:rsidR="00D91165" w:rsidRPr="00D91165" w:rsidRDefault="00D91165" w:rsidP="00D9116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Miller CP, Brubacher JW, Biswas D, Lawrence BD, Whang PG, 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t>Grauer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JN. The 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t>indidence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of noncontiguous spinal fractures and other traumatic injuries associated with cervical spine fractures. 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Spine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. 36(19):1532-1540.</w:t>
      </w:r>
    </w:p>
    <w:p w14:paraId="5BE6E42A" w14:textId="77777777" w:rsidR="00D91165" w:rsidRPr="00D91165" w:rsidRDefault="00D91165" w:rsidP="00D9116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proofErr w:type="spellStart"/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t>Fehlings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MG, 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t>Sekhon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LHS, 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t>Tator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C. The role and timing of decompression in acute spinal cord injury: what do we know? 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What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should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we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 xml:space="preserve"> do? 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Spine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 xml:space="preserve">. 2001;26(24 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Suppl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):S101-10.</w:t>
      </w:r>
    </w:p>
    <w:p w14:paraId="62476D55" w14:textId="77777777" w:rsidR="00D91165" w:rsidRPr="00D91165" w:rsidRDefault="00A502EA" w:rsidP="00D91165">
      <w:pPr>
        <w:rPr>
          <w:rFonts w:ascii="Times New Roman" w:eastAsia="Times New Roman" w:hAnsi="Times New Roman" w:cs="Times New Roman"/>
          <w:lang w:eastAsia="pt-BR"/>
        </w:rPr>
      </w:pPr>
      <w:r w:rsidRPr="00D91165">
        <w:rPr>
          <w:rFonts w:ascii="Times New Roman" w:eastAsia="Times New Roman" w:hAnsi="Times New Roman" w:cs="Times New Roman"/>
          <w:noProof/>
          <w:lang w:eastAsia="pt-BR"/>
        </w:rPr>
        <w:pict w14:anchorId="38C1091E">
          <v:rect id="_x0000_i1025" alt="" style="width:424.75pt;height:.05pt;mso-width-percent:0;mso-height-percent:0;mso-width-percent:0;mso-height-percent:0" o:hrpct="999" o:hralign="center" o:hrstd="t" o:hr="t" fillcolor="#a0a0a0" stroked="f"/>
        </w:pict>
      </w:r>
    </w:p>
    <w:p w14:paraId="693A357C" w14:textId="77777777" w:rsidR="00D91165" w:rsidRPr="00D91165" w:rsidRDefault="00D91165" w:rsidP="00D9116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</w:pPr>
      <w:r w:rsidRPr="00D9116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  <w:t>Metadados para publicação</w:t>
      </w:r>
    </w:p>
    <w:p w14:paraId="7922CD8E" w14:textId="77777777" w:rsidR="00D91165" w:rsidRPr="00D91165" w:rsidRDefault="00D91165" w:rsidP="00D9116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D91165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Título SEO:</w:t>
      </w:r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 xml:space="preserve"> Trauma da coluna cervical 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subaxial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 xml:space="preserve"> | Tratado</w:t>
      </w:r>
    </w:p>
    <w:p w14:paraId="4734B5EC" w14:textId="77777777" w:rsidR="00D91165" w:rsidRPr="00D91165" w:rsidRDefault="00D91165" w:rsidP="00D9116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D91165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Meta descrição:</w:t>
      </w:r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 xml:space="preserve"> Entenda avaliação, estabilidade, classificação e princípios de tratamento das lesões traumáticas da coluna cervical 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subaxial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 xml:space="preserve"> entre C3 e C7.</w:t>
      </w:r>
    </w:p>
    <w:p w14:paraId="4C3409F5" w14:textId="77777777" w:rsidR="00D91165" w:rsidRPr="00D91165" w:rsidRDefault="00D91165" w:rsidP="00D9116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D91165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Resumo de chamada:</w:t>
      </w:r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 xml:space="preserve"> Síntese do diagnóstico, estabilidade, classificação AO e princípios que orientam tratamento conservador, descompressão e escolha da abordagem nas lesões cervicais </w:t>
      </w:r>
      <w:proofErr w:type="spellStart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subaxiais</w:t>
      </w:r>
      <w:proofErr w:type="spellEnd"/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.</w:t>
      </w:r>
    </w:p>
    <w:p w14:paraId="036ED313" w14:textId="77777777" w:rsidR="00D91165" w:rsidRPr="00D91165" w:rsidRDefault="00D91165" w:rsidP="00D9116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D91165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 xml:space="preserve">Sugestão de </w:t>
      </w:r>
      <w:proofErr w:type="spellStart"/>
      <w:r w:rsidRPr="00D91165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slug</w:t>
      </w:r>
      <w:proofErr w:type="spellEnd"/>
      <w:r w:rsidRPr="00D91165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:</w:t>
      </w:r>
      <w:r w:rsidRPr="00D91165">
        <w:rPr>
          <w:rFonts w:ascii="Times New Roman" w:eastAsia="Times New Roman" w:hAnsi="Times New Roman" w:cs="Times New Roman"/>
          <w:color w:val="000000"/>
          <w:lang w:eastAsia="pt-BR"/>
        </w:rPr>
        <w:t> </w:t>
      </w:r>
      <w:proofErr w:type="spellStart"/>
      <w:r w:rsidRPr="00D911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lesoes</w:t>
      </w:r>
      <w:proofErr w:type="spellEnd"/>
      <w:r w:rsidRPr="00D911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-</w:t>
      </w:r>
      <w:proofErr w:type="spellStart"/>
      <w:r w:rsidRPr="00D911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traumaticas</w:t>
      </w:r>
      <w:proofErr w:type="spellEnd"/>
      <w:r w:rsidRPr="00D911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-coluna-cervical-</w:t>
      </w:r>
      <w:proofErr w:type="spellStart"/>
      <w:r w:rsidRPr="00D9116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subaxial</w:t>
      </w:r>
      <w:proofErr w:type="spellEnd"/>
    </w:p>
    <w:p w14:paraId="0995B601" w14:textId="77777777" w:rsidR="003C2187" w:rsidRDefault="00000000"/>
    <w:sectPr w:rsidR="003C2187" w:rsidSect="00461115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4161FB"/>
    <w:multiLevelType w:val="multilevel"/>
    <w:tmpl w:val="26BA0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FC0FC7"/>
    <w:multiLevelType w:val="multilevel"/>
    <w:tmpl w:val="0E483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ED744D"/>
    <w:multiLevelType w:val="multilevel"/>
    <w:tmpl w:val="E392F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4153028">
    <w:abstractNumId w:val="1"/>
  </w:num>
  <w:num w:numId="2" w16cid:durableId="69085444">
    <w:abstractNumId w:val="2"/>
  </w:num>
  <w:num w:numId="3" w16cid:durableId="914975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6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165"/>
    <w:rsid w:val="000D7E60"/>
    <w:rsid w:val="002D732D"/>
    <w:rsid w:val="0045079E"/>
    <w:rsid w:val="00461115"/>
    <w:rsid w:val="005E2B43"/>
    <w:rsid w:val="00602A1B"/>
    <w:rsid w:val="006B0FCD"/>
    <w:rsid w:val="006B691F"/>
    <w:rsid w:val="00743DED"/>
    <w:rsid w:val="007D0808"/>
    <w:rsid w:val="00821A1A"/>
    <w:rsid w:val="008A7C98"/>
    <w:rsid w:val="008B5D87"/>
    <w:rsid w:val="00A502EA"/>
    <w:rsid w:val="00A50355"/>
    <w:rsid w:val="00A96B78"/>
    <w:rsid w:val="00B702F2"/>
    <w:rsid w:val="00C20A44"/>
    <w:rsid w:val="00C62276"/>
    <w:rsid w:val="00D91165"/>
    <w:rsid w:val="00D973F4"/>
    <w:rsid w:val="00E34133"/>
    <w:rsid w:val="00E86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76C19E"/>
  <w15:chartTrackingRefBased/>
  <w15:docId w15:val="{5B196ADA-7FB5-5846-9001-544636FB1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D91165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D91165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D91165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91165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D91165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D91165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D91165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BR"/>
    </w:rPr>
  </w:style>
  <w:style w:type="character" w:styleId="Forte">
    <w:name w:val="Strong"/>
    <w:basedOn w:val="Fontepargpadro"/>
    <w:uiPriority w:val="22"/>
    <w:qFormat/>
    <w:rsid w:val="00D91165"/>
    <w:rPr>
      <w:b/>
      <w:bCs/>
    </w:rPr>
  </w:style>
  <w:style w:type="character" w:customStyle="1" w:styleId="apple-converted-space">
    <w:name w:val="apple-converted-space"/>
    <w:basedOn w:val="Fontepargpadro"/>
    <w:rsid w:val="00D91165"/>
  </w:style>
  <w:style w:type="character" w:styleId="nfase">
    <w:name w:val="Emphasis"/>
    <w:basedOn w:val="Fontepargpadro"/>
    <w:uiPriority w:val="20"/>
    <w:qFormat/>
    <w:rsid w:val="00D91165"/>
    <w:rPr>
      <w:i/>
      <w:iCs/>
    </w:rPr>
  </w:style>
  <w:style w:type="character" w:styleId="Hyperlink">
    <w:name w:val="Hyperlink"/>
    <w:basedOn w:val="Fontepargpadro"/>
    <w:uiPriority w:val="99"/>
    <w:semiHidden/>
    <w:unhideWhenUsed/>
    <w:rsid w:val="00D91165"/>
    <w:rPr>
      <w:color w:val="0000FF"/>
      <w:u w:val="single"/>
    </w:rPr>
  </w:style>
  <w:style w:type="character" w:styleId="CdigoHTML">
    <w:name w:val="HTML Code"/>
    <w:basedOn w:val="Fontepargpadro"/>
    <w:uiPriority w:val="99"/>
    <w:semiHidden/>
    <w:unhideWhenUsed/>
    <w:rsid w:val="00D9116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080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6644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1919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2863</Words>
  <Characters>15462</Characters>
  <Application>Microsoft Office Word</Application>
  <DocSecurity>0</DocSecurity>
  <Lines>128</Lines>
  <Paragraphs>36</Paragraphs>
  <ScaleCrop>false</ScaleCrop>
  <Company/>
  <LinksUpToDate>false</LinksUpToDate>
  <CharactersWithSpaces>18289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Risso</dc:creator>
  <cp:keywords/>
  <dc:description/>
  <cp:lastModifiedBy>Marcelo Risso</cp:lastModifiedBy>
  <cp:revision>1</cp:revision>
  <dcterms:created xsi:type="dcterms:W3CDTF">2026-08-19T21:33:00Z</dcterms:created>
  <dcterms:modified xsi:type="dcterms:W3CDTF">2026-08-19T21:35:00Z</dcterms:modified>
</cp:coreProperties>
</file>