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538A2" w14:textId="77777777" w:rsidR="00DB64CF" w:rsidRPr="00DB64CF" w:rsidRDefault="00DB64CF" w:rsidP="00DB64C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DB64CF">
        <w:rPr>
          <w:rFonts w:ascii="Times New Roman" w:eastAsia="Times New Roman" w:hAnsi="Times New Roman" w:cs="Times New Roman"/>
          <w:b/>
          <w:bCs/>
          <w:color w:val="000000"/>
          <w:kern w:val="36"/>
          <w:sz w:val="48"/>
          <w:szCs w:val="48"/>
          <w:lang w:eastAsia="pt-BR"/>
        </w:rPr>
        <w:t>Capítulo 22 — Lesões Traumáticas da Coluna Torácica e Lombar</w:t>
      </w:r>
    </w:p>
    <w:p w14:paraId="4F9A73BF" w14:textId="77777777" w:rsidR="00DB64CF" w:rsidRPr="00DB64CF" w:rsidRDefault="00DB64CF" w:rsidP="00DB64C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DB64CF">
        <w:rPr>
          <w:rFonts w:ascii="Times New Roman" w:eastAsia="Times New Roman" w:hAnsi="Times New Roman" w:cs="Times New Roman"/>
          <w:b/>
          <w:bCs/>
          <w:color w:val="000000"/>
          <w:sz w:val="36"/>
          <w:szCs w:val="36"/>
          <w:lang w:eastAsia="pt-BR"/>
        </w:rPr>
        <w:t>Identificação</w:t>
      </w:r>
    </w:p>
    <w:p w14:paraId="73573881" w14:textId="035B13DF"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Número do capítulo:</w:t>
      </w:r>
      <w:r w:rsidRPr="00DB64CF">
        <w:rPr>
          <w:rFonts w:ascii="Times New Roman" w:eastAsia="Times New Roman" w:hAnsi="Times New Roman" w:cs="Times New Roman"/>
          <w:color w:val="000000"/>
          <w:lang w:eastAsia="pt-BR"/>
        </w:rPr>
        <w:t> 22</w:t>
      </w:r>
      <w:r w:rsidRPr="00DB64CF">
        <w:rPr>
          <w:rFonts w:ascii="Times New Roman" w:eastAsia="Times New Roman" w:hAnsi="Times New Roman" w:cs="Times New Roman"/>
          <w:color w:val="000000"/>
          <w:lang w:eastAsia="pt-BR"/>
        </w:rPr>
        <w:br/>
      </w:r>
      <w:r w:rsidRPr="00DB64CF">
        <w:rPr>
          <w:rFonts w:ascii="Times New Roman" w:eastAsia="Times New Roman" w:hAnsi="Times New Roman" w:cs="Times New Roman"/>
          <w:b/>
          <w:bCs/>
          <w:color w:val="000000"/>
          <w:lang w:eastAsia="pt-BR"/>
        </w:rPr>
        <w:t>Título completo:</w:t>
      </w:r>
      <w:r w:rsidRPr="00DB64CF">
        <w:rPr>
          <w:rFonts w:ascii="Times New Roman" w:eastAsia="Times New Roman" w:hAnsi="Times New Roman" w:cs="Times New Roman"/>
          <w:color w:val="000000"/>
          <w:lang w:eastAsia="pt-BR"/>
        </w:rPr>
        <w:t> Lesões Traumáticas da Coluna Torácica e Lombar</w:t>
      </w:r>
      <w:r w:rsidRPr="00DB64CF">
        <w:rPr>
          <w:rFonts w:ascii="Times New Roman" w:eastAsia="Times New Roman" w:hAnsi="Times New Roman" w:cs="Times New Roman"/>
          <w:color w:val="000000"/>
          <w:lang w:eastAsia="pt-BR"/>
        </w:rPr>
        <w:br/>
      </w:r>
      <w:r w:rsidRPr="00DB64CF">
        <w:rPr>
          <w:rFonts w:ascii="Times New Roman" w:eastAsia="Times New Roman" w:hAnsi="Times New Roman" w:cs="Times New Roman"/>
          <w:b/>
          <w:bCs/>
          <w:color w:val="000000"/>
          <w:lang w:eastAsia="pt-BR"/>
        </w:rPr>
        <w:t>Seção do Tratado:</w:t>
      </w:r>
      <w:r w:rsidRPr="00DB64CF">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3</w:t>
      </w:r>
    </w:p>
    <w:p w14:paraId="741FB00F"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Autores</w:t>
      </w:r>
    </w:p>
    <w:p w14:paraId="7EB231BF" w14:textId="77777777" w:rsidR="00DB64CF" w:rsidRPr="00DB64CF" w:rsidRDefault="00DB64CF" w:rsidP="00DB64CF">
      <w:pPr>
        <w:numPr>
          <w:ilvl w:val="0"/>
          <w:numId w:val="1"/>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Alexandre Philippe Boss Jaccard</w:t>
      </w:r>
    </w:p>
    <w:p w14:paraId="152B67CC" w14:textId="77777777" w:rsidR="00DB64CF" w:rsidRPr="00DB64CF" w:rsidRDefault="00DB64CF" w:rsidP="00DB64CF">
      <w:pPr>
        <w:numPr>
          <w:ilvl w:val="0"/>
          <w:numId w:val="1"/>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Carlos Andres Amelunge Rodriguez</w:t>
      </w:r>
    </w:p>
    <w:p w14:paraId="3D39B6E1" w14:textId="77777777" w:rsidR="00DB64CF" w:rsidRPr="00DB64CF" w:rsidRDefault="00DB64CF" w:rsidP="00DB64CF">
      <w:pPr>
        <w:numPr>
          <w:ilvl w:val="0"/>
          <w:numId w:val="1"/>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Matheus Boss Vieira</w:t>
      </w:r>
    </w:p>
    <w:p w14:paraId="6A29B14C" w14:textId="77777777" w:rsidR="00DB64CF" w:rsidRPr="00DB64CF" w:rsidRDefault="00DB64CF" w:rsidP="00DB64CF">
      <w:pPr>
        <w:spacing w:beforeAutospacing="1"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Nota editorial para o site</w:t>
      </w:r>
      <w:r w:rsidRPr="00DB64CF">
        <w:rPr>
          <w:rFonts w:ascii="Times New Roman" w:eastAsia="Times New Roman" w:hAnsi="Times New Roman" w:cs="Times New Roman"/>
          <w:color w:val="000000"/>
          <w:lang w:eastAsia="pt-BR"/>
        </w:rPr>
        <w:br/>
        <w:t>Esta página apresenta os conceitos fundamentais do capítulo. Os critérios quantitativos das classificações, parâmetros radiográficos, detalhes da técnica de redução, configurações de instrumentação e particularidades operatórias permanecem reservados ao conteúdo integral do </w:t>
      </w:r>
      <w:r w:rsidRPr="00DB64CF">
        <w:rPr>
          <w:rFonts w:ascii="Times New Roman" w:eastAsia="Times New Roman" w:hAnsi="Times New Roman" w:cs="Times New Roman"/>
          <w:i/>
          <w:iCs/>
          <w:color w:val="000000"/>
          <w:lang w:eastAsia="pt-BR"/>
        </w:rPr>
        <w:t>Tratado de Cirurgia da Coluna</w:t>
      </w:r>
      <w:r w:rsidRPr="00DB64CF">
        <w:rPr>
          <w:rFonts w:ascii="Times New Roman" w:eastAsia="Times New Roman" w:hAnsi="Times New Roman" w:cs="Times New Roman"/>
          <w:color w:val="000000"/>
          <w:lang w:eastAsia="pt-BR"/>
        </w:rPr>
        <w:t>.</w:t>
      </w:r>
    </w:p>
    <w:p w14:paraId="5C83AF76"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2C9F644B">
          <v:rect id="_x0000_i1036" alt="" style="width:424.75pt;height:.05pt;mso-width-percent:0;mso-height-percent:0;mso-width-percent:0;mso-height-percent:0" o:hrpct="999" o:hralign="center" o:hrstd="t" o:hr="t" fillcolor="#a0a0a0" stroked="f"/>
        </w:pict>
      </w:r>
    </w:p>
    <w:p w14:paraId="42EF2F90" w14:textId="77777777" w:rsidR="00DB64CF" w:rsidRPr="00DB64CF" w:rsidRDefault="00DB64CF" w:rsidP="00DB64C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DB64CF">
        <w:rPr>
          <w:rFonts w:ascii="Times New Roman" w:eastAsia="Times New Roman" w:hAnsi="Times New Roman" w:cs="Times New Roman"/>
          <w:b/>
          <w:bCs/>
          <w:color w:val="000000"/>
          <w:sz w:val="36"/>
          <w:szCs w:val="36"/>
          <w:lang w:eastAsia="pt-BR"/>
        </w:rPr>
        <w:t>Contexto</w:t>
      </w:r>
    </w:p>
    <w:p w14:paraId="6D007E27"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As lesões traumáticas da coluna torácica e lombar apresentam amplo espectro de gravidade e podem produzir deformidade, instabilidade e comprometimento neurológico, com impacto funcional prolongado. A junção toracolombar é particularmente vulnerável por constituir uma zona de transição entre a relativa rigidez da coluna torácica, estabilizada pelo gradil costal, e a maior mobilidade da coluna lombar. O padrão resultante depende tanto da energia e do mecanismo do trauma quanto da posição da coluna e da integridade de seus componentes ósseos, discais e ligamentares. A avaliação deve integrar mecanismo, inspeção e palpação do dorso, exame neurológico padronizado e métodos de imagem. O capítulo utiliza a classificação AO para organizar a morfologia em padrões de compressão, falha das bandas de tensão e translação, incorporando ainda condição neurológica e modificadores clínicos. O tratamento varia do manejo conservador individualizado à redução, estabilização e descompressão cirúrgica.</w:t>
      </w:r>
    </w:p>
    <w:p w14:paraId="46F48C03"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79D76829">
          <v:rect id="_x0000_i1035" alt="" style="width:424.75pt;height:.05pt;mso-width-percent:0;mso-height-percent:0;mso-width-percent:0;mso-height-percent:0" o:hrpct="999" o:hralign="center" o:hrstd="t" o:hr="t" fillcolor="#a0a0a0" stroked="f"/>
        </w:pict>
      </w:r>
    </w:p>
    <w:p w14:paraId="2EAC3405" w14:textId="77777777" w:rsidR="00DB64CF" w:rsidRPr="00DB64CF" w:rsidRDefault="00DB64CF" w:rsidP="00DB64C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DB64CF">
        <w:rPr>
          <w:rFonts w:ascii="Times New Roman" w:eastAsia="Times New Roman" w:hAnsi="Times New Roman" w:cs="Times New Roman"/>
          <w:b/>
          <w:bCs/>
          <w:color w:val="000000"/>
          <w:sz w:val="36"/>
          <w:szCs w:val="36"/>
          <w:lang w:eastAsia="pt-BR"/>
        </w:rPr>
        <w:t>Objetivo do capítulo</w:t>
      </w:r>
    </w:p>
    <w:p w14:paraId="1F5470FF"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 xml:space="preserve">Apresentar os fundamentos anatômicos, biomecânicos, diagnósticos e terapêuticos das lesões traumáticas toracolombares. Ao final, o leitor deverá reconhecer os principais mecanismos de trauma, utilizar de forma sistemática a classificação AO, integrar exame clínico e neurológico aos achados de imagem, compreender os princípios que orientam </w:t>
      </w:r>
      <w:r w:rsidRPr="00DB64CF">
        <w:rPr>
          <w:rFonts w:ascii="Times New Roman" w:eastAsia="Times New Roman" w:hAnsi="Times New Roman" w:cs="Times New Roman"/>
          <w:color w:val="000000"/>
          <w:lang w:eastAsia="pt-BR"/>
        </w:rPr>
        <w:lastRenderedPageBreak/>
        <w:t>tratamento conservador ou cirúrgico e reconhecer complicações e situações que exigem maior atenção no seguimento.</w:t>
      </w:r>
    </w:p>
    <w:p w14:paraId="057F9D90"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57C3E1B5">
          <v:rect id="_x0000_i1034" alt="" style="width:424.75pt;height:.05pt;mso-width-percent:0;mso-height-percent:0;mso-width-percent:0;mso-height-percent:0" o:hrpct="999" o:hralign="center" o:hrstd="t" o:hr="t" fillcolor="#a0a0a0" stroked="f"/>
        </w:pict>
      </w:r>
    </w:p>
    <w:p w14:paraId="0BCC5643" w14:textId="77777777" w:rsidR="00DB64CF" w:rsidRPr="00DB64CF" w:rsidRDefault="00DB64CF" w:rsidP="00DB64C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DB64CF">
        <w:rPr>
          <w:rFonts w:ascii="Times New Roman" w:eastAsia="Times New Roman" w:hAnsi="Times New Roman" w:cs="Times New Roman"/>
          <w:b/>
          <w:bCs/>
          <w:color w:val="000000"/>
          <w:kern w:val="36"/>
          <w:sz w:val="48"/>
          <w:szCs w:val="48"/>
          <w:lang w:eastAsia="pt-BR"/>
        </w:rPr>
        <w:t>Conteúdo principal</w:t>
      </w:r>
    </w:p>
    <w:p w14:paraId="3915FD9D" w14:textId="77777777" w:rsidR="00DB64CF" w:rsidRPr="00DB64CF" w:rsidRDefault="00DB64CF" w:rsidP="00DB64C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DB64CF">
        <w:rPr>
          <w:rFonts w:ascii="Times New Roman" w:eastAsia="Times New Roman" w:hAnsi="Times New Roman" w:cs="Times New Roman"/>
          <w:b/>
          <w:bCs/>
          <w:color w:val="000000"/>
          <w:sz w:val="27"/>
          <w:szCs w:val="27"/>
          <w:lang w:eastAsia="pt-BR"/>
        </w:rPr>
        <w:t>A junção toracolombar como zona de transição</w:t>
      </w:r>
    </w:p>
    <w:p w14:paraId="1BAF4F7F"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 unidade funcional vertebral combina uma porção anterior, constituída por corpos vertebrais, disco e ligamentos longitudinais, com elementos posteriores formados pelos arcos, facetas e pelo complexo ligamentar posterior. O disco distribui cargas, enquanto facetas, ligamentos e musculatura orientam o movimento e contribuem para a estabilidade.</w:t>
      </w:r>
    </w:p>
    <w:p w14:paraId="2F897E59"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Na junção toracolombar ocorre uma mudança abrupta entre segmentos com comportamentos mecânicos distintos. Essa transição ajuda a explicar a frequência de lesões nessa região e sua exposição a mecanismos de compressão, distração e translação ou rotação. A </w:t>
      </w:r>
      <w:r w:rsidRPr="00DB64CF">
        <w:rPr>
          <w:rFonts w:ascii="Times New Roman" w:eastAsia="Times New Roman" w:hAnsi="Times New Roman" w:cs="Times New Roman"/>
          <w:b/>
          <w:bCs/>
          <w:color w:val="000000"/>
          <w:lang w:eastAsia="pt-BR"/>
        </w:rPr>
        <w:t>Figura 22.1</w:t>
      </w:r>
      <w:r w:rsidRPr="00DB64CF">
        <w:rPr>
          <w:rFonts w:ascii="Times New Roman" w:eastAsia="Times New Roman" w:hAnsi="Times New Roman" w:cs="Times New Roman"/>
          <w:color w:val="000000"/>
          <w:lang w:eastAsia="pt-BR"/>
        </w:rPr>
        <w:t> organiza a anatomia funcional que fundamenta esse raciocínio.</w:t>
      </w:r>
    </w:p>
    <w:p w14:paraId="48C0F38C" w14:textId="77777777" w:rsidR="00DB64CF" w:rsidRPr="00DB64CF" w:rsidRDefault="00DB64CF" w:rsidP="00DB64C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DB64CF">
        <w:rPr>
          <w:rFonts w:ascii="Times New Roman" w:eastAsia="Times New Roman" w:hAnsi="Times New Roman" w:cs="Times New Roman"/>
          <w:b/>
          <w:bCs/>
          <w:color w:val="000000"/>
          <w:sz w:val="27"/>
          <w:szCs w:val="27"/>
          <w:lang w:eastAsia="pt-BR"/>
        </w:rPr>
        <w:t>Avaliação clínica e neurológica</w:t>
      </w:r>
    </w:p>
    <w:p w14:paraId="2D4C2C2F"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O mecanismo do trauma é parte essencial da história. Após as prioridades do atendimento inicial, a avaliação do dorso procura deformidade, hematomas, lesões cutâneas e alterações dos espaços interespinhosos. O exame neurológico deve ser sistemático e documentado, pois o comprometimento pode variar de déficit transitório até lesão medular ou da cauda equina.</w:t>
      </w:r>
    </w:p>
    <w:p w14:paraId="5E47D73F"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 ausência de déficit motor evidente não exclui instabilidade. Dor localizada e sinais de lesão posterior podem ser particularmente relevantes na identificação de padrões ligamentares.</w:t>
      </w:r>
    </w:p>
    <w:p w14:paraId="0519735E" w14:textId="77777777" w:rsidR="00DB64CF" w:rsidRPr="00DB64CF" w:rsidRDefault="00DB64CF" w:rsidP="00DB64C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DB64CF">
        <w:rPr>
          <w:rFonts w:ascii="Times New Roman" w:eastAsia="Times New Roman" w:hAnsi="Times New Roman" w:cs="Times New Roman"/>
          <w:b/>
          <w:bCs/>
          <w:color w:val="000000"/>
          <w:sz w:val="27"/>
          <w:szCs w:val="27"/>
          <w:lang w:eastAsia="pt-BR"/>
        </w:rPr>
        <w:t>Classificação AO</w:t>
      </w:r>
    </w:p>
    <w:p w14:paraId="3C6B8AB5"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O capítulo apresenta a classificação AO como sistema principal de organização das lesões. Conceitualmente:</w:t>
      </w:r>
    </w:p>
    <w:p w14:paraId="04B50604" w14:textId="77777777" w:rsidR="00DB64CF" w:rsidRPr="00DB64CF" w:rsidRDefault="00DB64CF" w:rsidP="00DB64CF">
      <w:pPr>
        <w:numPr>
          <w:ilvl w:val="0"/>
          <w:numId w:val="2"/>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Tipo A:</w:t>
      </w:r>
      <w:r w:rsidRPr="00DB64CF">
        <w:rPr>
          <w:rFonts w:ascii="Times New Roman" w:eastAsia="Times New Roman" w:hAnsi="Times New Roman" w:cs="Times New Roman"/>
          <w:color w:val="000000"/>
          <w:lang w:eastAsia="pt-BR"/>
        </w:rPr>
        <w:t> predomínio de lesão por compressão do corpo vertebral;</w:t>
      </w:r>
    </w:p>
    <w:p w14:paraId="2FB48D23" w14:textId="77777777" w:rsidR="00DB64CF" w:rsidRPr="00DB64CF" w:rsidRDefault="00DB64CF" w:rsidP="00DB64CF">
      <w:pPr>
        <w:numPr>
          <w:ilvl w:val="0"/>
          <w:numId w:val="2"/>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Tipo B:</w:t>
      </w:r>
      <w:r w:rsidRPr="00DB64CF">
        <w:rPr>
          <w:rFonts w:ascii="Times New Roman" w:eastAsia="Times New Roman" w:hAnsi="Times New Roman" w:cs="Times New Roman"/>
          <w:color w:val="000000"/>
          <w:lang w:eastAsia="pt-BR"/>
        </w:rPr>
        <w:t> falha da banda de tensão anterior ou posterior;</w:t>
      </w:r>
    </w:p>
    <w:p w14:paraId="3C974EB5" w14:textId="77777777" w:rsidR="00DB64CF" w:rsidRPr="00DB64CF" w:rsidRDefault="00DB64CF" w:rsidP="00DB64CF">
      <w:pPr>
        <w:numPr>
          <w:ilvl w:val="0"/>
          <w:numId w:val="2"/>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Tipo C:</w:t>
      </w:r>
      <w:r w:rsidRPr="00DB64CF">
        <w:rPr>
          <w:rFonts w:ascii="Times New Roman" w:eastAsia="Times New Roman" w:hAnsi="Times New Roman" w:cs="Times New Roman"/>
          <w:color w:val="000000"/>
          <w:lang w:eastAsia="pt-BR"/>
        </w:rPr>
        <w:t> translação ou deslocamento entre os segmentos.</w:t>
      </w:r>
    </w:p>
    <w:p w14:paraId="13B34B2D"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As </w:t>
      </w:r>
      <w:r w:rsidRPr="00DB64CF">
        <w:rPr>
          <w:rFonts w:ascii="Times New Roman" w:eastAsia="Times New Roman" w:hAnsi="Times New Roman" w:cs="Times New Roman"/>
          <w:b/>
          <w:bCs/>
          <w:color w:val="000000"/>
          <w:lang w:eastAsia="pt-BR"/>
        </w:rPr>
        <w:t>Figuras 22.2 a 22.10</w:t>
      </w:r>
      <w:r w:rsidRPr="00DB64CF">
        <w:rPr>
          <w:rFonts w:ascii="Times New Roman" w:eastAsia="Times New Roman" w:hAnsi="Times New Roman" w:cs="Times New Roman"/>
          <w:color w:val="000000"/>
          <w:lang w:eastAsia="pt-BR"/>
        </w:rPr>
        <w:t> demonstram os diferentes padrões morfológicos, enquanto a </w:t>
      </w:r>
      <w:r w:rsidRPr="00DB64CF">
        <w:rPr>
          <w:rFonts w:ascii="Times New Roman" w:eastAsia="Times New Roman" w:hAnsi="Times New Roman" w:cs="Times New Roman"/>
          <w:b/>
          <w:bCs/>
          <w:color w:val="000000"/>
          <w:lang w:eastAsia="pt-BR"/>
        </w:rPr>
        <w:t>Figura 22.11</w:t>
      </w:r>
      <w:r w:rsidRPr="00DB64CF">
        <w:rPr>
          <w:rFonts w:ascii="Times New Roman" w:eastAsia="Times New Roman" w:hAnsi="Times New Roman" w:cs="Times New Roman"/>
          <w:color w:val="000000"/>
          <w:lang w:eastAsia="pt-BR"/>
        </w:rPr>
        <w:t> apresenta o algoritmo que recomenda analisar inicialmente deslocamento, depois distração e, por fim, compressão.</w:t>
      </w:r>
    </w:p>
    <w:p w14:paraId="6057B385"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 classificação é complementada pela condição neurológica e por modificadores clínicos, apresentados nas </w:t>
      </w:r>
      <w:r w:rsidRPr="00DB64CF">
        <w:rPr>
          <w:rFonts w:ascii="Times New Roman" w:eastAsia="Times New Roman" w:hAnsi="Times New Roman" w:cs="Times New Roman"/>
          <w:b/>
          <w:bCs/>
          <w:color w:val="000000"/>
          <w:lang w:eastAsia="pt-BR"/>
        </w:rPr>
        <w:t>Figuras 22.12 e 22.13</w:t>
      </w:r>
      <w:r w:rsidRPr="00DB64CF">
        <w:rPr>
          <w:rFonts w:ascii="Times New Roman" w:eastAsia="Times New Roman" w:hAnsi="Times New Roman" w:cs="Times New Roman"/>
          <w:color w:val="000000"/>
          <w:lang w:eastAsia="pt-BR"/>
        </w:rPr>
        <w:t xml:space="preserve">. O caso clínico do capítulo demonstra a importância desse raciocínio: uma lesão que poderia parecer inicialmente uma fratura </w:t>
      </w:r>
      <w:r w:rsidRPr="00DB64CF">
        <w:rPr>
          <w:rFonts w:ascii="Times New Roman" w:eastAsia="Times New Roman" w:hAnsi="Times New Roman" w:cs="Times New Roman"/>
          <w:color w:val="000000"/>
          <w:lang w:eastAsia="pt-BR"/>
        </w:rPr>
        <w:lastRenderedPageBreak/>
        <w:t>por explosão é corretamente reconhecida como lesão predominantemente distrativa quando o algoritmo é seguido.</w:t>
      </w:r>
    </w:p>
    <w:p w14:paraId="1F8EDBAC" w14:textId="77777777" w:rsidR="00DB64CF" w:rsidRPr="00DB64CF" w:rsidRDefault="00DB64CF" w:rsidP="00DB64C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DB64CF">
        <w:rPr>
          <w:rFonts w:ascii="Times New Roman" w:eastAsia="Times New Roman" w:hAnsi="Times New Roman" w:cs="Times New Roman"/>
          <w:b/>
          <w:bCs/>
          <w:color w:val="000000"/>
          <w:sz w:val="27"/>
          <w:szCs w:val="27"/>
          <w:lang w:eastAsia="pt-BR"/>
        </w:rPr>
        <w:t>Imagem e tomada de decisão</w:t>
      </w:r>
    </w:p>
    <w:p w14:paraId="468E0D9B"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 tomografia computadorizada (TC) é o principal método para caracterizar a morfologia óssea, o alinhamento, a fragmentação e o canal vertebral. A ressonância magnética (RM) complementa a investigação quando há déficit neurológico, dúvida sobre estruturas ligamentares ou discrepância entre clínica e os demais exames.</w:t>
      </w:r>
    </w:p>
    <w:p w14:paraId="52ACCF05"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O capítulo ressalta que a RM não precisa ser utilizada de forma indiscriminada quando os elementos necessários à classificação e à decisão já estão claramente demonstrados pela avaliação clínica e pela TC.</w:t>
      </w:r>
    </w:p>
    <w:p w14:paraId="4A8ED93E" w14:textId="77777777" w:rsidR="00DB64CF" w:rsidRPr="00DB64CF" w:rsidRDefault="00DB64CF" w:rsidP="00DB64C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DB64CF">
        <w:rPr>
          <w:rFonts w:ascii="Times New Roman" w:eastAsia="Times New Roman" w:hAnsi="Times New Roman" w:cs="Times New Roman"/>
          <w:b/>
          <w:bCs/>
          <w:color w:val="000000"/>
          <w:sz w:val="27"/>
          <w:szCs w:val="27"/>
          <w:lang w:eastAsia="pt-BR"/>
        </w:rPr>
        <w:t>Tratamento: estabilidade e neurologia</w:t>
      </w:r>
    </w:p>
    <w:p w14:paraId="653104F9"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 decisão entre tratamento conservador e cirúrgico deve considerar conjuntamente morfologia, estabilidade, integridade ligamentar, estado neurológico, deformidade, condição clínica, comorbidades e demanda funcional. Lesões compressivas estáveis e sem comprometimento neurológico podem admitir manejo não operatório em situações selecionadas. Falhas das bandas de tensão, lesões translacionais e padrões instáveis tendem a exigir estabilização.</w:t>
      </w:r>
    </w:p>
    <w:p w14:paraId="2498C26A"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No tratamento cirúrgico, o capítulo enfatiza os princípios de correção do alinhamento, restauração da altura vertebral e, quando possível, descompressão indireta por ligamentotaxia. As </w:t>
      </w:r>
      <w:r w:rsidRPr="00DB64CF">
        <w:rPr>
          <w:rFonts w:ascii="Times New Roman" w:eastAsia="Times New Roman" w:hAnsi="Times New Roman" w:cs="Times New Roman"/>
          <w:b/>
          <w:bCs/>
          <w:color w:val="000000"/>
          <w:lang w:eastAsia="pt-BR"/>
        </w:rPr>
        <w:t>Figuras 22.14 a 22.16</w:t>
      </w:r>
      <w:r w:rsidRPr="00DB64CF">
        <w:rPr>
          <w:rFonts w:ascii="Times New Roman" w:eastAsia="Times New Roman" w:hAnsi="Times New Roman" w:cs="Times New Roman"/>
          <w:color w:val="000000"/>
          <w:lang w:eastAsia="pt-BR"/>
        </w:rPr>
        <w:t> ilustram os fundamentos da redução com pinos de Schanz, enquanto o caso clínico demonstra sua aplicação. Os detalhes técnicos e a sequência das manobras devem ser consultados no capítulo integral.</w:t>
      </w:r>
    </w:p>
    <w:p w14:paraId="13671CF3"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Técnicas abertas e minimamente invasivas são discutidas como alternativas, e a escolha depende da necessidade de descompressão direta, da morfologia e do objetivo da reconstrução.</w:t>
      </w:r>
    </w:p>
    <w:p w14:paraId="75CE51D8"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10B6BD7D">
          <v:rect id="_x0000_i1033" alt="" style="width:424.75pt;height:.05pt;mso-width-percent:0;mso-height-percent:0;mso-width-percent:0;mso-height-percent:0" o:hrpct="999" o:hralign="center" o:hrstd="t" o:hr="t" fillcolor="#a0a0a0" stroked="f"/>
        </w:pict>
      </w:r>
    </w:p>
    <w:p w14:paraId="0726B4D2" w14:textId="77777777" w:rsidR="00DB64CF" w:rsidRPr="00DB64CF" w:rsidRDefault="00DB64CF" w:rsidP="00DB64C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DB64CF">
        <w:rPr>
          <w:rFonts w:ascii="Times New Roman" w:eastAsia="Times New Roman" w:hAnsi="Times New Roman" w:cs="Times New Roman"/>
          <w:b/>
          <w:bCs/>
          <w:color w:val="000000"/>
          <w:sz w:val="36"/>
          <w:szCs w:val="36"/>
          <w:lang w:eastAsia="pt-BR"/>
        </w:rPr>
        <w:t>Aplicação clínica</w:t>
      </w:r>
    </w:p>
    <w:p w14:paraId="72F39EBF"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Na prática, o mecanismo do trauma deve orientar a suspeita inicial, mas a decisão depende da integração entre exame, neurologia e imagem. No paciente consciente, dor localizada, alterações nos espaços interespinhosos e qualquer relato de déficit transitório merecem atenção. Em pacientes cuja avaliação clínica é limitada, a investigação por imagem assume importância ainda maior.</w:t>
      </w:r>
    </w:p>
    <w:p w14:paraId="071E0A03"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Após identificar a lesão, é útil seguir sistematicamente o algoritmo da classificação AO, procurando primeiro sinais de translação, depois de distração e somente então caracterizando as lesões predominantemente compressivas. Essa sequência reduz o risco de classificar uma lesão ligamentar instável como simples fratura do corpo vertebral.</w:t>
      </w:r>
    </w:p>
    <w:p w14:paraId="2672DC0C"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lastRenderedPageBreak/>
        <w:t>A TC responde principalmente à pergunta morfológica. A RM deve ser empregada quando acrescentar informação relevante sobre medula, raízes, disco ou estruturas ligamentares. A decisão terapêutica deve considerar estabilidade, estado neurológico e características individuais, evitando a aplicação automática da classificação como indicação de tratamento.</w:t>
      </w:r>
    </w:p>
    <w:p w14:paraId="1F7092BA"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Nos pacientes tratados conservadoramente, seguimento clínico e radiográfico é necessário para reconhecer deformidade progressiva ou perda funcional. Nos casos operatórios, redução, estabilidade do constructo, necessidade de descompressão e preservação de segmentos móveis devem ser ponderadas. O capítulo também valoriza mobilização e reabilitação precoces como componentes do tratamento, e não apenas como medidas pós-operatórias.</w:t>
      </w:r>
    </w:p>
    <w:p w14:paraId="3CB99F4B"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4D902AFE">
          <v:rect id="_x0000_i1032" alt="" style="width:424.75pt;height:.05pt;mso-width-percent:0;mso-height-percent:0;mso-width-percent:0;mso-height-percent:0" o:hrpct="999" o:hralign="center" o:hrstd="t" o:hr="t" fillcolor="#a0a0a0" stroked="f"/>
        </w:pict>
      </w:r>
    </w:p>
    <w:p w14:paraId="3820E327" w14:textId="77777777" w:rsidR="00DB64CF" w:rsidRPr="00DB64CF" w:rsidRDefault="00DB64CF" w:rsidP="00DB64C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DB64CF">
        <w:rPr>
          <w:rFonts w:ascii="Times New Roman" w:eastAsia="Times New Roman" w:hAnsi="Times New Roman" w:cs="Times New Roman"/>
          <w:b/>
          <w:bCs/>
          <w:color w:val="000000"/>
          <w:sz w:val="36"/>
          <w:szCs w:val="36"/>
          <w:lang w:eastAsia="pt-BR"/>
        </w:rPr>
        <w:t>Mensagem central</w:t>
      </w:r>
    </w:p>
    <w:p w14:paraId="60B72004"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O diagnóstico correto das lesões traumáticas toracolombares depende de reconhecer </w:t>
      </w:r>
      <w:r w:rsidRPr="00DB64CF">
        <w:rPr>
          <w:rFonts w:ascii="Times New Roman" w:eastAsia="Times New Roman" w:hAnsi="Times New Roman" w:cs="Times New Roman"/>
          <w:b/>
          <w:bCs/>
          <w:color w:val="000000"/>
          <w:lang w:eastAsia="pt-BR"/>
        </w:rPr>
        <w:t>o mecanismo predominante e a estabilidade da lesão</w:t>
      </w:r>
      <w:r w:rsidRPr="00DB64CF">
        <w:rPr>
          <w:rFonts w:ascii="Times New Roman" w:eastAsia="Times New Roman" w:hAnsi="Times New Roman" w:cs="Times New Roman"/>
          <w:color w:val="000000"/>
          <w:lang w:eastAsia="pt-BR"/>
        </w:rPr>
        <w:t>, e não apenas a fratura mais evidente na imagem. A classificação AO organiza morfologia, neurologia e modificadores e auxilia a comunicação e a tomada de decisão. TC e RM exercem funções complementares, enquanto a escolha entre tratamento conservador e cirurgia deve permanecer individualizada e orientada pela estabilidade, pelo comprometimento neurológico e pelas características do paciente.</w:t>
      </w:r>
    </w:p>
    <w:p w14:paraId="6C5412EA"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2ECE3029">
          <v:rect id="_x0000_i1031" alt="" style="width:424.75pt;height:.05pt;mso-width-percent:0;mso-height-percent:0;mso-width-percent:0;mso-height-percent:0" o:hrpct="999" o:hralign="center" o:hrstd="t" o:hr="t" fillcolor="#a0a0a0" stroked="f"/>
        </w:pict>
      </w:r>
    </w:p>
    <w:p w14:paraId="70669690" w14:textId="77777777" w:rsidR="00DB64CF" w:rsidRPr="00DB64CF" w:rsidRDefault="00DB64CF" w:rsidP="00DB64CF">
      <w:pPr>
        <w:spacing w:beforeAutospacing="1" w:after="100" w:afterAutospacing="1"/>
        <w:outlineLvl w:val="1"/>
        <w:rPr>
          <w:rFonts w:ascii="Times New Roman" w:eastAsia="Times New Roman" w:hAnsi="Times New Roman" w:cs="Times New Roman"/>
          <w:b/>
          <w:bCs/>
          <w:color w:val="000000"/>
          <w:sz w:val="36"/>
          <w:szCs w:val="36"/>
          <w:lang w:eastAsia="pt-BR"/>
        </w:rPr>
      </w:pPr>
      <w:r w:rsidRPr="00DB64CF">
        <w:rPr>
          <w:rFonts w:ascii="Times New Roman" w:eastAsia="Times New Roman" w:hAnsi="Times New Roman" w:cs="Times New Roman"/>
          <w:b/>
          <w:bCs/>
          <w:color w:val="000000"/>
          <w:sz w:val="36"/>
          <w:szCs w:val="36"/>
          <w:lang w:eastAsia="pt-BR"/>
        </w:rPr>
        <w:t>Por que este capítulo importa</w:t>
      </w:r>
    </w:p>
    <w:p w14:paraId="2AAB0062" w14:textId="77777777" w:rsidR="00DB64CF" w:rsidRPr="00DB64CF" w:rsidRDefault="00DB64CF" w:rsidP="00DB64CF">
      <w:pPr>
        <w:spacing w:before="100" w:beforeAutospacing="1"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Uma fratura toracolombar pode parecer predominantemente compressiva e, na realidade, representar falha importante da banda de tensão posterior. Essa diferença modifica estabilidade, prognóstico e tratamento. O capítulo mostra como evitar essa armadilha combinando mecanismo do trauma, exame físico, neurologia, TC e um algoritmo morfológico estruturado. Também demonstra que o tratamento não se resume a “operar ou não operar”: envolve preservar alinhamento e função, selecionar a estratégia menos agressiva compatível com a estabilidade necessária e acompanhar complicações e deformidades que podem surgir após a fase inicial.</w:t>
      </w:r>
    </w:p>
    <w:p w14:paraId="7D3A82FE"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371A5F39">
          <v:rect id="_x0000_i1030" alt="" style="width:424.75pt;height:.05pt;mso-width-percent:0;mso-height-percent:0;mso-width-percent:0;mso-height-percent:0" o:hrpct="999" o:hralign="center" o:hrstd="t" o:hr="t" fillcolor="#a0a0a0" stroked="f"/>
        </w:pict>
      </w:r>
    </w:p>
    <w:p w14:paraId="48C050D8" w14:textId="77777777" w:rsidR="00DB64CF" w:rsidRPr="00DB64CF" w:rsidRDefault="00DB64CF" w:rsidP="00DB64C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DB64CF">
        <w:rPr>
          <w:rFonts w:ascii="Times New Roman" w:eastAsia="Times New Roman" w:hAnsi="Times New Roman" w:cs="Times New Roman"/>
          <w:b/>
          <w:bCs/>
          <w:color w:val="000000"/>
          <w:kern w:val="36"/>
          <w:sz w:val="48"/>
          <w:szCs w:val="48"/>
          <w:lang w:eastAsia="pt-BR"/>
        </w:rPr>
        <w:t>Palavras-chave e descritores</w:t>
      </w:r>
    </w:p>
    <w:p w14:paraId="14EA5101" w14:textId="77777777" w:rsidR="00DB64CF" w:rsidRPr="00DB64CF" w:rsidRDefault="00DB64CF" w:rsidP="00DB64C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DB64CF">
        <w:rPr>
          <w:rFonts w:ascii="Times New Roman" w:eastAsia="Times New Roman" w:hAnsi="Times New Roman" w:cs="Times New Roman"/>
          <w:b/>
          <w:bCs/>
          <w:color w:val="000000"/>
          <w:sz w:val="36"/>
          <w:szCs w:val="36"/>
          <w:lang w:eastAsia="pt-BR"/>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4"/>
        <w:gridCol w:w="3135"/>
      </w:tblGrid>
      <w:tr w:rsidR="00DB64CF" w:rsidRPr="00DB64CF" w14:paraId="12EFB4BE" w14:textId="77777777" w:rsidTr="00DB64CF">
        <w:trPr>
          <w:tblHeader/>
          <w:tblCellSpacing w:w="15" w:type="dxa"/>
        </w:trPr>
        <w:tc>
          <w:tcPr>
            <w:tcW w:w="0" w:type="auto"/>
            <w:vAlign w:val="center"/>
            <w:hideMark/>
          </w:tcPr>
          <w:p w14:paraId="7C32415E" w14:textId="77777777" w:rsidR="00DB64CF" w:rsidRPr="00DB64CF" w:rsidRDefault="00DB64CF" w:rsidP="00DB64CF">
            <w:pPr>
              <w:jc w:val="center"/>
              <w:rPr>
                <w:rFonts w:ascii="Times New Roman" w:eastAsia="Times New Roman" w:hAnsi="Times New Roman" w:cs="Times New Roman"/>
                <w:b/>
                <w:bCs/>
                <w:color w:val="000000"/>
                <w:lang w:eastAsia="pt-BR"/>
              </w:rPr>
            </w:pPr>
            <w:r w:rsidRPr="00DB64CF">
              <w:rPr>
                <w:rFonts w:ascii="Times New Roman" w:eastAsia="Times New Roman" w:hAnsi="Times New Roman" w:cs="Times New Roman"/>
                <w:b/>
                <w:bCs/>
                <w:color w:val="000000"/>
                <w:lang w:eastAsia="pt-BR"/>
              </w:rPr>
              <w:t>DeCS — português</w:t>
            </w:r>
          </w:p>
        </w:tc>
        <w:tc>
          <w:tcPr>
            <w:tcW w:w="0" w:type="auto"/>
            <w:vAlign w:val="center"/>
            <w:hideMark/>
          </w:tcPr>
          <w:p w14:paraId="2F02A138" w14:textId="77777777" w:rsidR="00DB64CF" w:rsidRPr="00DB64CF" w:rsidRDefault="00DB64CF" w:rsidP="00DB64CF">
            <w:pPr>
              <w:jc w:val="center"/>
              <w:rPr>
                <w:rFonts w:ascii="Times New Roman" w:eastAsia="Times New Roman" w:hAnsi="Times New Roman" w:cs="Times New Roman"/>
                <w:b/>
                <w:bCs/>
                <w:color w:val="000000"/>
                <w:lang w:eastAsia="pt-BR"/>
              </w:rPr>
            </w:pPr>
            <w:r w:rsidRPr="00DB64CF">
              <w:rPr>
                <w:rFonts w:ascii="Times New Roman" w:eastAsia="Times New Roman" w:hAnsi="Times New Roman" w:cs="Times New Roman"/>
                <w:b/>
                <w:bCs/>
                <w:color w:val="000000"/>
                <w:lang w:eastAsia="pt-BR"/>
              </w:rPr>
              <w:t>MeSH — inglês</w:t>
            </w:r>
          </w:p>
        </w:tc>
      </w:tr>
      <w:tr w:rsidR="00DB64CF" w:rsidRPr="00DB64CF" w14:paraId="5F32AA14" w14:textId="77777777" w:rsidTr="00DB64CF">
        <w:trPr>
          <w:tblCellSpacing w:w="15" w:type="dxa"/>
        </w:trPr>
        <w:tc>
          <w:tcPr>
            <w:tcW w:w="0" w:type="auto"/>
            <w:vAlign w:val="center"/>
            <w:hideMark/>
          </w:tcPr>
          <w:p w14:paraId="10F596DF"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Traumatismos da Coluna Vertebral</w:t>
            </w:r>
          </w:p>
        </w:tc>
        <w:tc>
          <w:tcPr>
            <w:tcW w:w="0" w:type="auto"/>
            <w:vAlign w:val="center"/>
            <w:hideMark/>
          </w:tcPr>
          <w:p w14:paraId="38A9A52E"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Spinal Injuries</w:t>
            </w:r>
          </w:p>
        </w:tc>
      </w:tr>
      <w:tr w:rsidR="00DB64CF" w:rsidRPr="00DB64CF" w14:paraId="27C4F28E" w14:textId="77777777" w:rsidTr="00DB64CF">
        <w:trPr>
          <w:tblCellSpacing w:w="15" w:type="dxa"/>
        </w:trPr>
        <w:tc>
          <w:tcPr>
            <w:tcW w:w="0" w:type="auto"/>
            <w:vAlign w:val="center"/>
            <w:hideMark/>
          </w:tcPr>
          <w:p w14:paraId="35B3AF56"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Fraturas da Coluna Vertebral</w:t>
            </w:r>
          </w:p>
        </w:tc>
        <w:tc>
          <w:tcPr>
            <w:tcW w:w="0" w:type="auto"/>
            <w:vAlign w:val="center"/>
            <w:hideMark/>
          </w:tcPr>
          <w:p w14:paraId="495A4990"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Spinal Fractures</w:t>
            </w:r>
          </w:p>
        </w:tc>
      </w:tr>
      <w:tr w:rsidR="00DB64CF" w:rsidRPr="00DB64CF" w14:paraId="1DBEF1BE" w14:textId="77777777" w:rsidTr="00DB64CF">
        <w:trPr>
          <w:tblCellSpacing w:w="15" w:type="dxa"/>
        </w:trPr>
        <w:tc>
          <w:tcPr>
            <w:tcW w:w="0" w:type="auto"/>
            <w:vAlign w:val="center"/>
            <w:hideMark/>
          </w:tcPr>
          <w:p w14:paraId="4999F1E0"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lastRenderedPageBreak/>
              <w:t>Vértebras Torácicas</w:t>
            </w:r>
          </w:p>
        </w:tc>
        <w:tc>
          <w:tcPr>
            <w:tcW w:w="0" w:type="auto"/>
            <w:vAlign w:val="center"/>
            <w:hideMark/>
          </w:tcPr>
          <w:p w14:paraId="31E0F25F"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Thoracic Vertebrae</w:t>
            </w:r>
          </w:p>
        </w:tc>
      </w:tr>
      <w:tr w:rsidR="00DB64CF" w:rsidRPr="00DB64CF" w14:paraId="223B75D2" w14:textId="77777777" w:rsidTr="00DB64CF">
        <w:trPr>
          <w:tblCellSpacing w:w="15" w:type="dxa"/>
        </w:trPr>
        <w:tc>
          <w:tcPr>
            <w:tcW w:w="0" w:type="auto"/>
            <w:vAlign w:val="center"/>
            <w:hideMark/>
          </w:tcPr>
          <w:p w14:paraId="414CC796"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Vértebras Lombares</w:t>
            </w:r>
          </w:p>
        </w:tc>
        <w:tc>
          <w:tcPr>
            <w:tcW w:w="0" w:type="auto"/>
            <w:vAlign w:val="center"/>
            <w:hideMark/>
          </w:tcPr>
          <w:p w14:paraId="39919CDC"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Lumbar Vertebrae</w:t>
            </w:r>
          </w:p>
        </w:tc>
      </w:tr>
      <w:tr w:rsidR="00DB64CF" w:rsidRPr="00DB64CF" w14:paraId="69B6D2EA" w14:textId="77777777" w:rsidTr="00DB64CF">
        <w:trPr>
          <w:tblCellSpacing w:w="15" w:type="dxa"/>
        </w:trPr>
        <w:tc>
          <w:tcPr>
            <w:tcW w:w="0" w:type="auto"/>
            <w:vAlign w:val="center"/>
            <w:hideMark/>
          </w:tcPr>
          <w:p w14:paraId="5E23C138"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Traumatismos da Medula Espinal</w:t>
            </w:r>
          </w:p>
        </w:tc>
        <w:tc>
          <w:tcPr>
            <w:tcW w:w="0" w:type="auto"/>
            <w:vAlign w:val="center"/>
            <w:hideMark/>
          </w:tcPr>
          <w:p w14:paraId="1CB86992"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Spinal Cord Injuries</w:t>
            </w:r>
          </w:p>
        </w:tc>
      </w:tr>
      <w:tr w:rsidR="00DB64CF" w:rsidRPr="00DB64CF" w14:paraId="1D882FEB" w14:textId="77777777" w:rsidTr="00DB64CF">
        <w:trPr>
          <w:tblCellSpacing w:w="15" w:type="dxa"/>
        </w:trPr>
        <w:tc>
          <w:tcPr>
            <w:tcW w:w="0" w:type="auto"/>
            <w:vAlign w:val="center"/>
            <w:hideMark/>
          </w:tcPr>
          <w:p w14:paraId="25C642C9"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Fraturas por Compressão</w:t>
            </w:r>
          </w:p>
        </w:tc>
        <w:tc>
          <w:tcPr>
            <w:tcW w:w="0" w:type="auto"/>
            <w:vAlign w:val="center"/>
            <w:hideMark/>
          </w:tcPr>
          <w:p w14:paraId="41FCE273"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Fractures, Compression</w:t>
            </w:r>
          </w:p>
        </w:tc>
      </w:tr>
      <w:tr w:rsidR="00DB64CF" w:rsidRPr="00DB64CF" w14:paraId="0374DA80" w14:textId="77777777" w:rsidTr="00DB64CF">
        <w:trPr>
          <w:tblCellSpacing w:w="15" w:type="dxa"/>
        </w:trPr>
        <w:tc>
          <w:tcPr>
            <w:tcW w:w="0" w:type="auto"/>
            <w:vAlign w:val="center"/>
            <w:hideMark/>
          </w:tcPr>
          <w:p w14:paraId="0CA3118E"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Tomografia Computadorizada por Raios X</w:t>
            </w:r>
          </w:p>
        </w:tc>
        <w:tc>
          <w:tcPr>
            <w:tcW w:w="0" w:type="auto"/>
            <w:vAlign w:val="center"/>
            <w:hideMark/>
          </w:tcPr>
          <w:p w14:paraId="66E53D7D"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Tomography, X-Ray Computed</w:t>
            </w:r>
          </w:p>
        </w:tc>
      </w:tr>
      <w:tr w:rsidR="00DB64CF" w:rsidRPr="00DB64CF" w14:paraId="46390F4B" w14:textId="77777777" w:rsidTr="00DB64CF">
        <w:trPr>
          <w:tblCellSpacing w:w="15" w:type="dxa"/>
        </w:trPr>
        <w:tc>
          <w:tcPr>
            <w:tcW w:w="0" w:type="auto"/>
            <w:vAlign w:val="center"/>
            <w:hideMark/>
          </w:tcPr>
          <w:p w14:paraId="34EF1E2B"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Imageamento por Ressonância Magnética</w:t>
            </w:r>
          </w:p>
        </w:tc>
        <w:tc>
          <w:tcPr>
            <w:tcW w:w="0" w:type="auto"/>
            <w:vAlign w:val="center"/>
            <w:hideMark/>
          </w:tcPr>
          <w:p w14:paraId="54651DE7" w14:textId="77777777" w:rsidR="00DB64CF" w:rsidRPr="00DB64CF" w:rsidRDefault="00DB64CF" w:rsidP="00DB64CF">
            <w:pPr>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Magnetic Resonance Imaging</w:t>
            </w:r>
          </w:p>
        </w:tc>
      </w:tr>
    </w:tbl>
    <w:p w14:paraId="160C8B10"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As correspondências </w:t>
      </w:r>
      <w:r w:rsidRPr="00DB64CF">
        <w:rPr>
          <w:rFonts w:ascii="Times New Roman" w:eastAsia="Times New Roman" w:hAnsi="Times New Roman" w:cs="Times New Roman"/>
          <w:b/>
          <w:bCs/>
          <w:color w:val="000000"/>
          <w:lang w:eastAsia="pt-BR"/>
        </w:rPr>
        <w:t>Traumatismos da Coluna Vertebral / Spinal Injuries</w:t>
      </w:r>
      <w:r w:rsidRPr="00DB64CF">
        <w:rPr>
          <w:rFonts w:ascii="Times New Roman" w:eastAsia="Times New Roman" w:hAnsi="Times New Roman" w:cs="Times New Roman"/>
          <w:color w:val="000000"/>
          <w:lang w:eastAsia="pt-BR"/>
        </w:rPr>
        <w:t>, </w:t>
      </w:r>
      <w:r w:rsidRPr="00DB64CF">
        <w:rPr>
          <w:rFonts w:ascii="Times New Roman" w:eastAsia="Times New Roman" w:hAnsi="Times New Roman" w:cs="Times New Roman"/>
          <w:b/>
          <w:bCs/>
          <w:color w:val="000000"/>
          <w:lang w:eastAsia="pt-BR"/>
        </w:rPr>
        <w:t>Fraturas da Coluna Vertebral / Spinal Fractures</w:t>
      </w:r>
      <w:r w:rsidRPr="00DB64CF">
        <w:rPr>
          <w:rFonts w:ascii="Times New Roman" w:eastAsia="Times New Roman" w:hAnsi="Times New Roman" w:cs="Times New Roman"/>
          <w:color w:val="000000"/>
          <w:lang w:eastAsia="pt-BR"/>
        </w:rPr>
        <w:t> e </w:t>
      </w:r>
      <w:r w:rsidRPr="00DB64CF">
        <w:rPr>
          <w:rFonts w:ascii="Times New Roman" w:eastAsia="Times New Roman" w:hAnsi="Times New Roman" w:cs="Times New Roman"/>
          <w:b/>
          <w:bCs/>
          <w:color w:val="000000"/>
          <w:lang w:eastAsia="pt-BR"/>
        </w:rPr>
        <w:t>Traumatismos da Medula Espinal / Spinal Cord Injuries</w:t>
      </w:r>
      <w:r w:rsidRPr="00DB64CF">
        <w:rPr>
          <w:rFonts w:ascii="Times New Roman" w:eastAsia="Times New Roman" w:hAnsi="Times New Roman" w:cs="Times New Roman"/>
          <w:color w:val="000000"/>
          <w:lang w:eastAsia="pt-BR"/>
        </w:rPr>
        <w:t> constam nos vocabulários oficiais DeCS/MeSH. (</w:t>
      </w:r>
      <w:hyperlink r:id="rId5" w:tooltip="DeCS - BVS" w:history="1">
        <w:r w:rsidRPr="00DB64CF">
          <w:rPr>
            <w:rFonts w:ascii="Times New Roman" w:eastAsia="Times New Roman" w:hAnsi="Times New Roman" w:cs="Times New Roman"/>
            <w:color w:val="0000FF"/>
            <w:u w:val="single"/>
            <w:lang w:eastAsia="pt-BR"/>
          </w:rPr>
          <w:t>DeCS</w:t>
        </w:r>
      </w:hyperlink>
      <w:r w:rsidRPr="00DB64CF">
        <w:rPr>
          <w:rFonts w:ascii="Times New Roman" w:eastAsia="Times New Roman" w:hAnsi="Times New Roman" w:cs="Times New Roman"/>
          <w:color w:val="000000"/>
          <w:lang w:eastAsia="pt-BR"/>
        </w:rPr>
        <w:t>)</w:t>
      </w:r>
    </w:p>
    <w:p w14:paraId="7A3F9DFB"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Thoracic Vertebrae</w:t>
      </w:r>
      <w:r w:rsidRPr="00DB64CF">
        <w:rPr>
          <w:rFonts w:ascii="Times New Roman" w:eastAsia="Times New Roman" w:hAnsi="Times New Roman" w:cs="Times New Roman"/>
          <w:color w:val="000000"/>
          <w:lang w:eastAsia="pt-BR"/>
        </w:rPr>
        <w:t>, </w:t>
      </w:r>
      <w:r w:rsidRPr="00DB64CF">
        <w:rPr>
          <w:rFonts w:ascii="Times New Roman" w:eastAsia="Times New Roman" w:hAnsi="Times New Roman" w:cs="Times New Roman"/>
          <w:b/>
          <w:bCs/>
          <w:color w:val="000000"/>
          <w:lang w:eastAsia="pt-BR"/>
        </w:rPr>
        <w:t>Lumbar Vertebrae</w:t>
      </w:r>
      <w:r w:rsidRPr="00DB64CF">
        <w:rPr>
          <w:rFonts w:ascii="Times New Roman" w:eastAsia="Times New Roman" w:hAnsi="Times New Roman" w:cs="Times New Roman"/>
          <w:color w:val="000000"/>
          <w:lang w:eastAsia="pt-BR"/>
        </w:rPr>
        <w:t>, </w:t>
      </w:r>
      <w:r w:rsidRPr="00DB64CF">
        <w:rPr>
          <w:rFonts w:ascii="Times New Roman" w:eastAsia="Times New Roman" w:hAnsi="Times New Roman" w:cs="Times New Roman"/>
          <w:b/>
          <w:bCs/>
          <w:color w:val="000000"/>
          <w:lang w:eastAsia="pt-BR"/>
        </w:rPr>
        <w:t>Fractures, Compression</w:t>
      </w:r>
      <w:r w:rsidRPr="00DB64CF">
        <w:rPr>
          <w:rFonts w:ascii="Times New Roman" w:eastAsia="Times New Roman" w:hAnsi="Times New Roman" w:cs="Times New Roman"/>
          <w:color w:val="000000"/>
          <w:lang w:eastAsia="pt-BR"/>
        </w:rPr>
        <w:t>, </w:t>
      </w:r>
      <w:r w:rsidRPr="00DB64CF">
        <w:rPr>
          <w:rFonts w:ascii="Times New Roman" w:eastAsia="Times New Roman" w:hAnsi="Times New Roman" w:cs="Times New Roman"/>
          <w:b/>
          <w:bCs/>
          <w:color w:val="000000"/>
          <w:lang w:eastAsia="pt-BR"/>
        </w:rPr>
        <w:t>Tomography, X-Ray Computed</w:t>
      </w:r>
      <w:r w:rsidRPr="00DB64CF">
        <w:rPr>
          <w:rFonts w:ascii="Times New Roman" w:eastAsia="Times New Roman" w:hAnsi="Times New Roman" w:cs="Times New Roman"/>
          <w:color w:val="000000"/>
          <w:lang w:eastAsia="pt-BR"/>
        </w:rPr>
        <w:t> e </w:t>
      </w:r>
      <w:r w:rsidRPr="00DB64CF">
        <w:rPr>
          <w:rFonts w:ascii="Times New Roman" w:eastAsia="Times New Roman" w:hAnsi="Times New Roman" w:cs="Times New Roman"/>
          <w:b/>
          <w:bCs/>
          <w:color w:val="000000"/>
          <w:lang w:eastAsia="pt-BR"/>
        </w:rPr>
        <w:t>Magnetic Resonance Imaging</w:t>
      </w:r>
      <w:r w:rsidRPr="00DB64CF">
        <w:rPr>
          <w:rFonts w:ascii="Times New Roman" w:eastAsia="Times New Roman" w:hAnsi="Times New Roman" w:cs="Times New Roman"/>
          <w:color w:val="000000"/>
          <w:lang w:eastAsia="pt-BR"/>
        </w:rPr>
        <w:t> são igualmente descritores oficiais MeSH. (</w:t>
      </w:r>
      <w:hyperlink r:id="rId6" w:tooltip="Thoracic Vertebrae MeSH Descriptor Data 2026" w:history="1">
        <w:r w:rsidRPr="00DB64CF">
          <w:rPr>
            <w:rFonts w:ascii="Times New Roman" w:eastAsia="Times New Roman" w:hAnsi="Times New Roman" w:cs="Times New Roman"/>
            <w:color w:val="0000FF"/>
            <w:u w:val="single"/>
            <w:lang w:eastAsia="pt-BR"/>
          </w:rPr>
          <w:t>MeSH Browser</w:t>
        </w:r>
      </w:hyperlink>
      <w:r w:rsidRPr="00DB64CF">
        <w:rPr>
          <w:rFonts w:ascii="Times New Roman" w:eastAsia="Times New Roman" w:hAnsi="Times New Roman" w:cs="Times New Roman"/>
          <w:color w:val="000000"/>
          <w:lang w:eastAsia="pt-BR"/>
        </w:rPr>
        <w:t>)</w:t>
      </w:r>
    </w:p>
    <w:p w14:paraId="759C96B9" w14:textId="77777777" w:rsidR="00DB64CF" w:rsidRPr="00DB64CF" w:rsidRDefault="00DB64CF" w:rsidP="00DB64C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DB64CF">
        <w:rPr>
          <w:rFonts w:ascii="Times New Roman" w:eastAsia="Times New Roman" w:hAnsi="Times New Roman" w:cs="Times New Roman"/>
          <w:b/>
          <w:bCs/>
          <w:color w:val="000000"/>
          <w:sz w:val="27"/>
          <w:szCs w:val="27"/>
          <w:lang w:eastAsia="pt-BR"/>
        </w:rPr>
        <w:t>Palavras-chave livres adicionais</w:t>
      </w:r>
    </w:p>
    <w:p w14:paraId="134F30D2"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Trauma toracolombar; junção toracolombar; classificação AO Spine; banda de tensão posterior; ligamentotaxia; redução indireta; pinos de Schanz; abordagem de Wiltse.</w:t>
      </w:r>
    </w:p>
    <w:p w14:paraId="77150CCE"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09C3EEBE">
          <v:rect id="_x0000_i1029" alt="" style="width:424.75pt;height:.05pt;mso-width-percent:0;mso-height-percent:0;mso-width-percent:0;mso-height-percent:0" o:hrpct="999" o:hralign="center" o:hrstd="t" o:hr="t" fillcolor="#a0a0a0" stroked="f"/>
        </w:pict>
      </w:r>
    </w:p>
    <w:p w14:paraId="7D9930B2" w14:textId="77777777" w:rsidR="00DB64CF" w:rsidRPr="00DB64CF" w:rsidRDefault="00DB64CF" w:rsidP="00DB64C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DB64CF">
        <w:rPr>
          <w:rFonts w:ascii="Times New Roman" w:eastAsia="Times New Roman" w:hAnsi="Times New Roman" w:cs="Times New Roman"/>
          <w:b/>
          <w:bCs/>
          <w:color w:val="000000"/>
          <w:kern w:val="36"/>
          <w:sz w:val="48"/>
          <w:szCs w:val="48"/>
          <w:lang w:eastAsia="pt-BR"/>
        </w:rPr>
        <w:t>Três cards de destaque</w:t>
      </w:r>
    </w:p>
    <w:p w14:paraId="78EE1239" w14:textId="77777777" w:rsidR="00DB64CF" w:rsidRPr="00DB64CF" w:rsidRDefault="00DB64CF" w:rsidP="00DB64C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DB64CF">
        <w:rPr>
          <w:rFonts w:ascii="Times New Roman" w:eastAsia="Times New Roman" w:hAnsi="Times New Roman" w:cs="Times New Roman"/>
          <w:b/>
          <w:bCs/>
          <w:color w:val="000000"/>
          <w:sz w:val="36"/>
          <w:szCs w:val="36"/>
          <w:lang w:eastAsia="pt-BR"/>
        </w:rPr>
        <w:t>Card 1 — Conceito essencial</w:t>
      </w:r>
    </w:p>
    <w:p w14:paraId="603E14C2" w14:textId="77777777" w:rsidR="00DB64CF" w:rsidRPr="00DB64CF" w:rsidRDefault="00DB64CF" w:rsidP="00DB64C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DB64CF">
        <w:rPr>
          <w:rFonts w:ascii="Times New Roman" w:eastAsia="Times New Roman" w:hAnsi="Times New Roman" w:cs="Times New Roman"/>
          <w:b/>
          <w:bCs/>
          <w:color w:val="000000"/>
          <w:sz w:val="27"/>
          <w:szCs w:val="27"/>
          <w:lang w:eastAsia="pt-BR"/>
        </w:rPr>
        <w:t>Mecanismo revela a estabilidade</w:t>
      </w:r>
    </w:p>
    <w:p w14:paraId="48AF40A6"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Compressão, distração e translação produzem padrões distintos de lesão. Reconhecer qual mecanismo predomina é mais importante que simplesmente nomear a vértebra fraturada, porque estruturas ligamentares podem estar comprometidas mesmo quando a alteração óssea parece ser o achado mais evidente.</w:t>
      </w:r>
    </w:p>
    <w:p w14:paraId="065008E9"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3CAAAB1E">
          <v:rect id="_x0000_i1028" alt="" style="width:424.75pt;height:.05pt;mso-width-percent:0;mso-height-percent:0;mso-width-percent:0;mso-height-percent:0" o:hrpct="999" o:hralign="center" o:hrstd="t" o:hr="t" fillcolor="#a0a0a0" stroked="f"/>
        </w:pict>
      </w:r>
    </w:p>
    <w:p w14:paraId="477275A3" w14:textId="77777777" w:rsidR="00DB64CF" w:rsidRPr="00DB64CF" w:rsidRDefault="00DB64CF" w:rsidP="00DB64C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DB64CF">
        <w:rPr>
          <w:rFonts w:ascii="Times New Roman" w:eastAsia="Times New Roman" w:hAnsi="Times New Roman" w:cs="Times New Roman"/>
          <w:b/>
          <w:bCs/>
          <w:color w:val="000000"/>
          <w:sz w:val="36"/>
          <w:szCs w:val="36"/>
          <w:lang w:eastAsia="pt-BR"/>
        </w:rPr>
        <w:t>Card 2 — Decisão clínica</w:t>
      </w:r>
    </w:p>
    <w:p w14:paraId="0D17C164" w14:textId="77777777" w:rsidR="00DB64CF" w:rsidRPr="00DB64CF" w:rsidRDefault="00DB64CF" w:rsidP="00DB64C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DB64CF">
        <w:rPr>
          <w:rFonts w:ascii="Times New Roman" w:eastAsia="Times New Roman" w:hAnsi="Times New Roman" w:cs="Times New Roman"/>
          <w:b/>
          <w:bCs/>
          <w:color w:val="000000"/>
          <w:sz w:val="27"/>
          <w:szCs w:val="27"/>
          <w:lang w:eastAsia="pt-BR"/>
        </w:rPr>
        <w:t>Classifique na ordem correta</w:t>
      </w:r>
    </w:p>
    <w:p w14:paraId="6362BE44"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O algoritmo AO propõe procurar primeiro translação, depois distração e somente então compressão. Essa sequência evita uma armadilha frequente: interpretar como simples fratura do corpo vertebral uma lesão em que a falha da banda de tensão é o elemento determinante da instabilidade.</w:t>
      </w:r>
    </w:p>
    <w:p w14:paraId="5E2A2598"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lastRenderedPageBreak/>
        <w:pict w14:anchorId="7A736B4C">
          <v:rect id="_x0000_i1027" alt="" style="width:424.75pt;height:.05pt;mso-width-percent:0;mso-height-percent:0;mso-width-percent:0;mso-height-percent:0" o:hrpct="999" o:hralign="center" o:hrstd="t" o:hr="t" fillcolor="#a0a0a0" stroked="f"/>
        </w:pict>
      </w:r>
    </w:p>
    <w:p w14:paraId="11F131D5" w14:textId="77777777" w:rsidR="00DB64CF" w:rsidRPr="00DB64CF" w:rsidRDefault="00DB64CF" w:rsidP="00DB64CF">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DB64CF">
        <w:rPr>
          <w:rFonts w:ascii="Times New Roman" w:eastAsia="Times New Roman" w:hAnsi="Times New Roman" w:cs="Times New Roman"/>
          <w:b/>
          <w:bCs/>
          <w:color w:val="000000"/>
          <w:sz w:val="36"/>
          <w:szCs w:val="36"/>
          <w:lang w:eastAsia="pt-BR"/>
        </w:rPr>
        <w:t>Card 3 — Pérola ou alerta</w:t>
      </w:r>
    </w:p>
    <w:p w14:paraId="6D116449" w14:textId="77777777" w:rsidR="00DB64CF" w:rsidRPr="00DB64CF" w:rsidRDefault="00DB64CF" w:rsidP="00DB64CF">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DB64CF">
        <w:rPr>
          <w:rFonts w:ascii="Times New Roman" w:eastAsia="Times New Roman" w:hAnsi="Times New Roman" w:cs="Times New Roman"/>
          <w:b/>
          <w:bCs/>
          <w:color w:val="000000"/>
          <w:sz w:val="27"/>
          <w:szCs w:val="27"/>
          <w:lang w:eastAsia="pt-BR"/>
        </w:rPr>
        <w:t>RM deve responder uma pergunta</w:t>
      </w:r>
    </w:p>
    <w:p w14:paraId="4F412F4B"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 ressonância magnética é valiosa quando existe déficit neurológico, dúvida ligamentar ou discordância entre clínica e TC. Utilizá-la rotineiramente sem uma questão diagnóstica definida pode não acrescentar informação relevante. O exame complementar deve modificar ou refinar o raciocínio, não apenas ampliar a investigação.</w:t>
      </w:r>
    </w:p>
    <w:p w14:paraId="12C023F2"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38E834CD">
          <v:rect id="_x0000_i1026" alt="" style="width:424.75pt;height:.05pt;mso-width-percent:0;mso-height-percent:0;mso-width-percent:0;mso-height-percent:0" o:hrpct="999" o:hralign="center" o:hrstd="t" o:hr="t" fillcolor="#a0a0a0" stroked="f"/>
        </w:pict>
      </w:r>
    </w:p>
    <w:p w14:paraId="702FAA44" w14:textId="77777777" w:rsidR="00DB64CF" w:rsidRPr="00DB64CF" w:rsidRDefault="00DB64CF" w:rsidP="00DB64C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DB64CF">
        <w:rPr>
          <w:rFonts w:ascii="Times New Roman" w:eastAsia="Times New Roman" w:hAnsi="Times New Roman" w:cs="Times New Roman"/>
          <w:b/>
          <w:bCs/>
          <w:color w:val="000000"/>
          <w:kern w:val="36"/>
          <w:sz w:val="48"/>
          <w:szCs w:val="48"/>
          <w:lang w:eastAsia="pt-BR"/>
        </w:rPr>
        <w:t>Referências bibliográficas</w:t>
      </w:r>
    </w:p>
    <w:p w14:paraId="7E7F8D79"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val="en-US" w:eastAsia="pt-BR"/>
        </w:rPr>
      </w:pPr>
      <w:r w:rsidRPr="00DB64CF">
        <w:rPr>
          <w:rFonts w:ascii="Times New Roman" w:eastAsia="Times New Roman" w:hAnsi="Times New Roman" w:cs="Times New Roman"/>
          <w:color w:val="000000"/>
          <w:lang w:eastAsia="pt-BR"/>
        </w:rPr>
        <w:t xml:space="preserve">Bezerra Junior DL, Sá BFA, Pokorny GHO, Almeida NS, Silva DRC, Silva JPG, et al. </w:t>
      </w:r>
      <w:r w:rsidRPr="00DB64CF">
        <w:rPr>
          <w:rFonts w:ascii="Times New Roman" w:eastAsia="Times New Roman" w:hAnsi="Times New Roman" w:cs="Times New Roman"/>
          <w:color w:val="000000"/>
          <w:lang w:val="en-US" w:eastAsia="pt-BR"/>
        </w:rPr>
        <w:t>Epidemiological analysis of patients victims of surgical thoracic/lumbar fractures treated at a tertiary hospital in Brazil. J Bras Neurocirur. 2023;34(4):422-7. doi:10.22290/jbnc.2023.340402.</w:t>
      </w:r>
    </w:p>
    <w:p w14:paraId="7E636858"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val="en-US" w:eastAsia="pt-BR"/>
        </w:rPr>
        <w:t xml:space="preserve">National Spinal Cord Injury Statistical Center. Spinal cord injury facts and figures at a glance. </w:t>
      </w:r>
      <w:r w:rsidRPr="00DB64CF">
        <w:rPr>
          <w:rFonts w:ascii="Times New Roman" w:eastAsia="Times New Roman" w:hAnsi="Times New Roman" w:cs="Times New Roman"/>
          <w:color w:val="000000"/>
          <w:lang w:eastAsia="pt-BR"/>
        </w:rPr>
        <w:t>Birmingham, AL: University of Alabama at Birmingham; 2021.</w:t>
      </w:r>
    </w:p>
    <w:p w14:paraId="46A6EEE1"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Cunha FM, Menezes CM, Guimarães EP. Lesões traumáticas da coluna torácica e lombar. Rev Bras Ortop. 2000;35(1/2):17-22.</w:t>
      </w:r>
    </w:p>
    <w:p w14:paraId="0D2711C5"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val="en-US" w:eastAsia="pt-BR"/>
        </w:rPr>
        <w:t xml:space="preserve">Nordin M, Frankel VH. Biomechanics of the lumbar spine. In: Basic biomechanics of the musculoskeletal system. </w:t>
      </w:r>
      <w:r w:rsidRPr="00DB64CF">
        <w:rPr>
          <w:rFonts w:ascii="Times New Roman" w:eastAsia="Times New Roman" w:hAnsi="Times New Roman" w:cs="Times New Roman"/>
          <w:color w:val="000000"/>
          <w:lang w:eastAsia="pt-BR"/>
        </w:rPr>
        <w:t>4th ed. Philadelphia: Lippincott Williams &amp; Wilkins; 2012. p. 255-85.</w:t>
      </w:r>
    </w:p>
    <w:p w14:paraId="2EE178DA"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val="en-US" w:eastAsia="pt-BR"/>
        </w:rPr>
        <w:t xml:space="preserve">Gamanagatti S, Rathinam D, Rangarajan K, Kumar A, Farooque K, Sharma V. Imaging evaluation of traumatic thoracolumbar spine injuries: radiological review. </w:t>
      </w:r>
      <w:r w:rsidRPr="00DB64CF">
        <w:rPr>
          <w:rFonts w:ascii="Times New Roman" w:eastAsia="Times New Roman" w:hAnsi="Times New Roman" w:cs="Times New Roman"/>
          <w:color w:val="000000"/>
          <w:lang w:eastAsia="pt-BR"/>
        </w:rPr>
        <w:t>World J Radiol. 2015;7(9):253-65. doi:10.4329/wjr.v7.i9.253.</w:t>
      </w:r>
    </w:p>
    <w:p w14:paraId="1AE60536"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Leone A, Guglielmi G, Cassar-Pullicino VN, Bonomo L. Lumbar intervertebral instability: a review. Radiology. 2007;245(1):62-77. doi:10.1148/radiol.2451051359.</w:t>
      </w:r>
    </w:p>
    <w:p w14:paraId="05629D12"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 xml:space="preserve">Reinhold M, Knop C, Beisse R, Audigé L, Kandziora F, Pizanis A, et al. </w:t>
      </w:r>
      <w:r w:rsidRPr="00DB64CF">
        <w:rPr>
          <w:rFonts w:ascii="Times New Roman" w:eastAsia="Times New Roman" w:hAnsi="Times New Roman" w:cs="Times New Roman"/>
          <w:color w:val="000000"/>
          <w:lang w:val="en-US" w:eastAsia="pt-BR"/>
        </w:rPr>
        <w:t xml:space="preserve">Operative treatment of traumatic fractures of the thoracic and lumbar spine: Part I — Epidemiology. </w:t>
      </w:r>
      <w:r w:rsidRPr="00DB64CF">
        <w:rPr>
          <w:rFonts w:ascii="Times New Roman" w:eastAsia="Times New Roman" w:hAnsi="Times New Roman" w:cs="Times New Roman"/>
          <w:color w:val="000000"/>
          <w:lang w:eastAsia="pt-BR"/>
        </w:rPr>
        <w:t>Eur Spine J. 2010;19(7):1257-69. doi:10.1007/s00586-010-1580-2.</w:t>
      </w:r>
    </w:p>
    <w:p w14:paraId="333074B6"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val="en-US" w:eastAsia="pt-BR"/>
        </w:rPr>
        <w:t xml:space="preserve">Ghezelbash F, Alizadeh M, Ahmadian A, Gholami M, Rahimi M, Karami M, et al. The role of the thoracolumbar junction in spinal biomechanics: a finite element study. </w:t>
      </w:r>
      <w:r w:rsidRPr="00DB64CF">
        <w:rPr>
          <w:rFonts w:ascii="Times New Roman" w:eastAsia="Times New Roman" w:hAnsi="Times New Roman" w:cs="Times New Roman"/>
          <w:color w:val="000000"/>
          <w:lang w:eastAsia="pt-BR"/>
        </w:rPr>
        <w:t>J Orthop Surg Res. 2022;17(1):335. doi:10.1186/s13018-022-02954-6.</w:t>
      </w:r>
    </w:p>
    <w:p w14:paraId="64FA344B"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val="en-US" w:eastAsia="pt-BR"/>
        </w:rPr>
        <w:t xml:space="preserve">Wood KB, Li W, Lebl DS, Ploumis A. Management of thoracolumbar spine fractures. </w:t>
      </w:r>
      <w:r w:rsidRPr="00DB64CF">
        <w:rPr>
          <w:rFonts w:ascii="Times New Roman" w:eastAsia="Times New Roman" w:hAnsi="Times New Roman" w:cs="Times New Roman"/>
          <w:color w:val="000000"/>
          <w:lang w:eastAsia="pt-BR"/>
        </w:rPr>
        <w:t>Spine J. 2014;14(1):145-64. doi:10.1016/j.spinee.2012.10.041.</w:t>
      </w:r>
    </w:p>
    <w:p w14:paraId="6DB51AB4"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VandenBerg J, Cullison K, Fowler SA, Parsons MS, McAndrew CM, Carpenter CR. Blunt thoracolumbar-spine trauma evaluation in the emergency department: a meta-analysis of diagnostic accuracy for history, physical examination, and imaging. J Emerg Med. 2019;56(2):153-65. doi:10.1016/j.jemermed.2018.10.032.</w:t>
      </w:r>
    </w:p>
    <w:p w14:paraId="57CE5616"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lastRenderedPageBreak/>
        <w:t>Maynard FM Jr, Bracken MB, Creasey G, Ditunno JF Jr, Donovan WH, Ducker TB, et al. International standards for neurological and functional classification of spinal cord injury. Spinal Cord. 1997;35(5):266-74.</w:t>
      </w:r>
    </w:p>
    <w:p w14:paraId="21C97D02"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Gerges C, Raghavan A, Wright J, Shammassian B, Wright CH, Moore T. Cervical, thoracolumbar, and sacral spine trauma classifications: past, present, and future. Neurol Res. 2020;42(10):857-66. doi:10.1080/01616412.2020.1797373.</w:t>
      </w:r>
    </w:p>
    <w:p w14:paraId="49CD8899"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Schnake KJ, Schroeder GD, Vaccaro AR, Oner C. AOSpine Classification Systems (Subaxial, Thoracolumbar). J Orthop Trauma. 2017;31 Suppl 4:S14-S23. doi:10.1097/BOT.0000000000000947.</w:t>
      </w:r>
    </w:p>
    <w:p w14:paraId="6CFE2B5F"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Yelamarthy PKK, Chhabra HS, Vaksha V, Agarwal Y, Agarwal A, Das K, et al. Radiological protocol in spinal trauma: literature review and Spinal Cord Society position statement. Eur Spine J. 2020;29(6):1197-1211. doi:10.1007/s00586-019-06112-z.</w:t>
      </w:r>
    </w:p>
    <w:p w14:paraId="6DD2DAE3"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Izzo R, Al Qassab S, Popolizio T, Balzano RF, Perri M, Cassar-Pullicino V, et al. Imaging of thoracolumbar spine traumas. Eur J Radiol. 2022;154:110343. doi:10.1016/j.ejrad.2022.110343.</w:t>
      </w:r>
    </w:p>
    <w:p w14:paraId="4D242E93"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Verheyden AP, Spiegl UJ, Ekkerlein H, Gercek E, Hauck S, Josten C, et al. Treatment of fractures of the thoracolumbar spine: recommendations of the Spine Section of the German Society for Orthopaedics and Trauma (DGOU). Global Spine J. 2018;8(2 Suppl):34S-45S. doi:10.1177/2192568218771668.</w:t>
      </w:r>
    </w:p>
    <w:p w14:paraId="001B9DD7"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Spiegl UJ, Fischer K, Schmidt J, Schnoor J, Delank S, Josten C, et al. The conservative treatment of traumatic thoracolumbar vertebral fractures. Dtsch Arztebl Int. 2018;115(42):697-704. doi:10.3238/arztebl.2018.0697.</w:t>
      </w:r>
    </w:p>
    <w:p w14:paraId="3E82EBD1"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Kweh BTS, Tee JW, Dandurand C, Vaccaro AR, Lorin BM, Schnake K, et al. The AO Spine Thoracolumbar Injury Classification System and treatment algorithm in decision making for thoracolumbar burst fractures without neurologic deficit. Global Spine J. 2024;14(1 Suppl):32S-40S. doi:10.1177/21925682231195764.</w:t>
      </w:r>
    </w:p>
    <w:p w14:paraId="3F9D78EF"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Nau C, Pape HC, Jug M, Wendt K, Komadina R, Bloemers F. Thoracolumbar injuries: non operative treatment: indications, management. Eur J Trauma Emerg Surg. 2024;50(5):1951-1957. doi:10.1007/s00068-024-02619-3.</w:t>
      </w:r>
    </w:p>
    <w:p w14:paraId="1735400B"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Yuan H, Chang QY, Chen J, Wang YT, Gan ZJ, Wen S, et al. A retrospective analysis of the effects of different analgesics on the pain of patients with traumatic thoracolumbar fractures in the peri-treatment period. J Orthop Surg Res. 2021;16(1):268. doi:10.1186/s13018-021-02401-w.</w:t>
      </w:r>
    </w:p>
    <w:p w14:paraId="70E6A9F4"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Rosenthal BD, Boody BS, Jenkins TJ, Hsu WK, Patel AA, Savage JW. Thoracolumbar burst fractures. Clin Spine Surg. 2018;31(4):143-151. doi:10.1097/BSD.0000000000000634.</w:t>
      </w:r>
    </w:p>
    <w:p w14:paraId="5C12EC2D"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Urquhart JC, Alrehaili OA, Fisher CG, Fleming A, Rasoulinejad P, Gurr K, et al. Treatment of thoracolumbar burst fractures: extended follow-up of a randomized clinical trial comparing orthosis versus no orthosis. J Neurosurg Spine. 2017;27(1):42-47. doi:10.3171/2016.11.SPINE161031.</w:t>
      </w:r>
    </w:p>
    <w:p w14:paraId="5CFB61F9"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Linhares D, Pinto BS, Ribeiro da Silva M, Neves N, Fonseca JA. Orthosis in thoracolumbar fractures: a systematic review and meta-analysis of randomized controlled trials. Spine (Phila Pa 1976). 2020;45(22):E1523-E1531. doi:10.1097/BRS.0000000000003655.</w:t>
      </w:r>
    </w:p>
    <w:p w14:paraId="32EA6F51"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 xml:space="preserve">Bloemers F, Jug M, Nau C, Komadina R, Pape HC, Wendt K. Thoracolumbar injuries: operative treatment: indications, techniques, timing and implant </w:t>
      </w:r>
      <w:r w:rsidRPr="00DB64CF">
        <w:rPr>
          <w:rFonts w:ascii="Times New Roman" w:eastAsia="Times New Roman" w:hAnsi="Times New Roman" w:cs="Times New Roman"/>
          <w:color w:val="000000"/>
          <w:lang w:eastAsia="pt-BR"/>
        </w:rPr>
        <w:lastRenderedPageBreak/>
        <w:t>removal. Current practice. Eur J Trauma Emerg Surg. 2024;50(5):1959-1968. doi:10.1007/s00068-024-02602-y.</w:t>
      </w:r>
    </w:p>
    <w:p w14:paraId="66BD3271"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Sharif S, Shaikh Y, Yaman O, Zileli M. Surgical techniques for thoracolumbar spine fractures: WFNS Spine Committee recommendations. Neurospine. 2021;18(4):667-680. doi:10.14245/ns.2142206.253.</w:t>
      </w:r>
    </w:p>
    <w:p w14:paraId="034505DA"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Giorgi PD, Legrenzi S, Youchen Y, Federico B, Schirò GR. The effectiveness of posterior Schanz screw system in the anatomical restoration of thoracolumbar vertebral burst fractures: a 10-year single-institution experience. J Craniovertebr Junction Spine. 2024;15(4):411-418. doi:10.4103/jcvjs.jcvjs_118_24.</w:t>
      </w:r>
    </w:p>
    <w:p w14:paraId="09FE25C9"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AO Foundation. Surgery Reference: posterior short segment fixation with Schanz pins. </w:t>
      </w:r>
      <w:r w:rsidRPr="00DB64CF">
        <w:rPr>
          <w:rFonts w:ascii="Courier New" w:eastAsia="Times New Roman" w:hAnsi="Courier New" w:cs="Courier New"/>
          <w:color w:val="000000"/>
          <w:sz w:val="20"/>
          <w:szCs w:val="20"/>
          <w:lang w:eastAsia="pt-BR"/>
        </w:rPr>
        <w:t>https://surgeryreference.aofoundation.org/spine/trauma/thoracolumbar/b2/posterior-short-segment-fixation-with-schanz-pins</w:t>
      </w:r>
    </w:p>
    <w:p w14:paraId="75FC3C3A"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Esposito F, Bove I, Vitulli F, Bocchino A, Barbanera A, Nape S, et al. Outcome measures of open versus minimally invasive surgery for thoracolumbar spinal traumatic fractures: a systematic review and meta-analysis. J Clin Med. 2024;13(18):5558. doi:10.3390/jcm13185558.</w:t>
      </w:r>
    </w:p>
    <w:p w14:paraId="689F7458"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Soultanis K, Thano A, Soucacos PN. Outcome of thoracolumbar compression fractures following non-operative treatment. Injury. 2021;52(12):3685-3690. doi:10.1016/j.injury.2021.05.019.</w:t>
      </w:r>
    </w:p>
    <w:p w14:paraId="483F4BA1" w14:textId="77777777" w:rsidR="00DB64CF" w:rsidRPr="00DB64CF" w:rsidRDefault="00DB64CF" w:rsidP="00DB64CF">
      <w:pPr>
        <w:numPr>
          <w:ilvl w:val="0"/>
          <w:numId w:val="3"/>
        </w:num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color w:val="000000"/>
          <w:lang w:eastAsia="pt-BR"/>
        </w:rPr>
        <w:t>Cabrera JP, Carazzo CA, Guiroy A, White KP, Guasque J, Sfreddo E, et al. Risk factors for postoperative complications after surgical treatment of type B and C injuries of the thoracolumbar spine. World Neurosurg. 2023;170:e520-e528. doi:10.1016/j.wneu.2022.11.059.</w:t>
      </w:r>
    </w:p>
    <w:p w14:paraId="0AD17F26" w14:textId="77777777" w:rsidR="00DB64CF" w:rsidRPr="00DB64CF" w:rsidRDefault="00B860E8" w:rsidP="00DB64CF">
      <w:pPr>
        <w:rPr>
          <w:rFonts w:ascii="Times New Roman" w:eastAsia="Times New Roman" w:hAnsi="Times New Roman" w:cs="Times New Roman"/>
          <w:lang w:eastAsia="pt-BR"/>
        </w:rPr>
      </w:pPr>
      <w:r w:rsidRPr="00DB64CF">
        <w:rPr>
          <w:rFonts w:ascii="Times New Roman" w:eastAsia="Times New Roman" w:hAnsi="Times New Roman" w:cs="Times New Roman"/>
          <w:noProof/>
          <w:lang w:eastAsia="pt-BR"/>
        </w:rPr>
        <w:pict w14:anchorId="3F3E6F6B">
          <v:rect id="_x0000_i1025" alt="" style="width:424.75pt;height:.05pt;mso-width-percent:0;mso-height-percent:0;mso-width-percent:0;mso-height-percent:0" o:hrpct="999" o:hralign="center" o:hrstd="t" o:hr="t" fillcolor="#a0a0a0" stroked="f"/>
        </w:pict>
      </w:r>
    </w:p>
    <w:p w14:paraId="22077FF7" w14:textId="77777777" w:rsidR="00DB64CF" w:rsidRPr="00DB64CF" w:rsidRDefault="00DB64CF" w:rsidP="00DB64CF">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DB64CF">
        <w:rPr>
          <w:rFonts w:ascii="Times New Roman" w:eastAsia="Times New Roman" w:hAnsi="Times New Roman" w:cs="Times New Roman"/>
          <w:b/>
          <w:bCs/>
          <w:color w:val="000000"/>
          <w:kern w:val="36"/>
          <w:sz w:val="48"/>
          <w:szCs w:val="48"/>
          <w:lang w:eastAsia="pt-BR"/>
        </w:rPr>
        <w:t>Metadados para publicação</w:t>
      </w:r>
    </w:p>
    <w:p w14:paraId="14C4F230"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Título SEO:</w:t>
      </w:r>
      <w:r w:rsidRPr="00DB64CF">
        <w:rPr>
          <w:rFonts w:ascii="Times New Roman" w:eastAsia="Times New Roman" w:hAnsi="Times New Roman" w:cs="Times New Roman"/>
          <w:color w:val="000000"/>
          <w:lang w:eastAsia="pt-BR"/>
        </w:rPr>
        <w:t> Lesões traumáticas da coluna torácica e lombar</w:t>
      </w:r>
    </w:p>
    <w:p w14:paraId="628BCB8A"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Meta descrição:</w:t>
      </w:r>
      <w:r w:rsidRPr="00DB64CF">
        <w:rPr>
          <w:rFonts w:ascii="Times New Roman" w:eastAsia="Times New Roman" w:hAnsi="Times New Roman" w:cs="Times New Roman"/>
          <w:color w:val="000000"/>
          <w:lang w:eastAsia="pt-BR"/>
        </w:rPr>
        <w:t> Entenda diagnóstico, classificação AO, estabilidade e princípios de tratamento das lesões traumáticas da coluna torácica, lombar e junção toracolombar.</w:t>
      </w:r>
    </w:p>
    <w:p w14:paraId="280C5E80"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Resumo de chamada:</w:t>
      </w:r>
      <w:r w:rsidRPr="00DB64CF">
        <w:rPr>
          <w:rFonts w:ascii="Times New Roman" w:eastAsia="Times New Roman" w:hAnsi="Times New Roman" w:cs="Times New Roman"/>
          <w:color w:val="000000"/>
          <w:lang w:eastAsia="pt-BR"/>
        </w:rPr>
        <w:t> Síntese do mecanismo, diagnóstico, classificação AO e princípios que orientam tratamento conservador ou cirúrgico nas lesões traumáticas torácicas e lombares.</w:t>
      </w:r>
    </w:p>
    <w:p w14:paraId="7D922784" w14:textId="77777777" w:rsidR="00DB64CF" w:rsidRPr="00DB64CF" w:rsidRDefault="00DB64CF" w:rsidP="00DB64CF">
      <w:pPr>
        <w:spacing w:before="100" w:beforeAutospacing="1" w:after="100" w:afterAutospacing="1"/>
        <w:rPr>
          <w:rFonts w:ascii="Times New Roman" w:eastAsia="Times New Roman" w:hAnsi="Times New Roman" w:cs="Times New Roman"/>
          <w:color w:val="000000"/>
          <w:lang w:eastAsia="pt-BR"/>
        </w:rPr>
      </w:pPr>
      <w:r w:rsidRPr="00DB64CF">
        <w:rPr>
          <w:rFonts w:ascii="Times New Roman" w:eastAsia="Times New Roman" w:hAnsi="Times New Roman" w:cs="Times New Roman"/>
          <w:b/>
          <w:bCs/>
          <w:color w:val="000000"/>
          <w:lang w:eastAsia="pt-BR"/>
        </w:rPr>
        <w:t>Sugestão de slug:</w:t>
      </w:r>
      <w:r w:rsidRPr="00DB64CF">
        <w:rPr>
          <w:rFonts w:ascii="Times New Roman" w:eastAsia="Times New Roman" w:hAnsi="Times New Roman" w:cs="Times New Roman"/>
          <w:color w:val="000000"/>
          <w:lang w:eastAsia="pt-BR"/>
        </w:rPr>
        <w:t> </w:t>
      </w:r>
      <w:r w:rsidRPr="00DB64CF">
        <w:rPr>
          <w:rFonts w:ascii="Courier New" w:eastAsia="Times New Roman" w:hAnsi="Courier New" w:cs="Courier New"/>
          <w:color w:val="000000"/>
          <w:sz w:val="20"/>
          <w:szCs w:val="20"/>
          <w:lang w:eastAsia="pt-BR"/>
        </w:rPr>
        <w:t>lesoes-traumaticas-coluna-toracica-lombar</w:t>
      </w:r>
    </w:p>
    <w:p w14:paraId="293BD45D"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61EDA"/>
    <w:multiLevelType w:val="multilevel"/>
    <w:tmpl w:val="84E8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15A37"/>
    <w:multiLevelType w:val="multilevel"/>
    <w:tmpl w:val="735E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277BE"/>
    <w:multiLevelType w:val="multilevel"/>
    <w:tmpl w:val="2F0C4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0B6CFB"/>
    <w:multiLevelType w:val="multilevel"/>
    <w:tmpl w:val="3FFA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321009">
    <w:abstractNumId w:val="0"/>
  </w:num>
  <w:num w:numId="2" w16cid:durableId="399713997">
    <w:abstractNumId w:val="1"/>
  </w:num>
  <w:num w:numId="3" w16cid:durableId="1125536709">
    <w:abstractNumId w:val="2"/>
  </w:num>
  <w:num w:numId="4" w16cid:durableId="24839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CF"/>
    <w:rsid w:val="000D7E60"/>
    <w:rsid w:val="002D732D"/>
    <w:rsid w:val="0045079E"/>
    <w:rsid w:val="00461115"/>
    <w:rsid w:val="005E2B43"/>
    <w:rsid w:val="00602A1B"/>
    <w:rsid w:val="006B0FCD"/>
    <w:rsid w:val="006B691F"/>
    <w:rsid w:val="00743DED"/>
    <w:rsid w:val="007D0808"/>
    <w:rsid w:val="00821A1A"/>
    <w:rsid w:val="008A7C98"/>
    <w:rsid w:val="008B5D87"/>
    <w:rsid w:val="00A50355"/>
    <w:rsid w:val="00A96B78"/>
    <w:rsid w:val="00B702F2"/>
    <w:rsid w:val="00B860E8"/>
    <w:rsid w:val="00C20A44"/>
    <w:rsid w:val="00C62276"/>
    <w:rsid w:val="00D973F4"/>
    <w:rsid w:val="00DB64CF"/>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395D"/>
  <w15:chartTrackingRefBased/>
  <w15:docId w15:val="{A83086B7-5283-1045-B11F-50ACE4203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DB64CF"/>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DB64CF"/>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DB64CF"/>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B64CF"/>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DB64CF"/>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DB64CF"/>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DB64CF"/>
    <w:pPr>
      <w:spacing w:before="100" w:beforeAutospacing="1" w:after="100" w:afterAutospacing="1"/>
    </w:pPr>
    <w:rPr>
      <w:rFonts w:ascii="Times New Roman" w:eastAsia="Times New Roman" w:hAnsi="Times New Roman" w:cs="Times New Roman"/>
      <w:lang w:eastAsia="pt-BR"/>
    </w:rPr>
  </w:style>
  <w:style w:type="character" w:styleId="Forte">
    <w:name w:val="Strong"/>
    <w:basedOn w:val="Fontepargpadro"/>
    <w:uiPriority w:val="22"/>
    <w:qFormat/>
    <w:rsid w:val="00DB64CF"/>
    <w:rPr>
      <w:b/>
      <w:bCs/>
    </w:rPr>
  </w:style>
  <w:style w:type="character" w:customStyle="1" w:styleId="apple-converted-space">
    <w:name w:val="apple-converted-space"/>
    <w:basedOn w:val="Fontepargpadro"/>
    <w:rsid w:val="00DB64CF"/>
  </w:style>
  <w:style w:type="character" w:styleId="nfase">
    <w:name w:val="Emphasis"/>
    <w:basedOn w:val="Fontepargpadro"/>
    <w:uiPriority w:val="20"/>
    <w:qFormat/>
    <w:rsid w:val="00DB64CF"/>
    <w:rPr>
      <w:i/>
      <w:iCs/>
    </w:rPr>
  </w:style>
  <w:style w:type="character" w:styleId="Hyperlink">
    <w:name w:val="Hyperlink"/>
    <w:basedOn w:val="Fontepargpadro"/>
    <w:uiPriority w:val="99"/>
    <w:semiHidden/>
    <w:unhideWhenUsed/>
    <w:rsid w:val="00DB64CF"/>
    <w:rPr>
      <w:color w:val="0000FF"/>
      <w:u w:val="single"/>
    </w:rPr>
  </w:style>
  <w:style w:type="character" w:styleId="CdigoHTML">
    <w:name w:val="HTML Code"/>
    <w:basedOn w:val="Fontepargpadro"/>
    <w:uiPriority w:val="99"/>
    <w:semiHidden/>
    <w:unhideWhenUsed/>
    <w:rsid w:val="00DB64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322060">
      <w:bodyDiv w:val="1"/>
      <w:marLeft w:val="0"/>
      <w:marRight w:val="0"/>
      <w:marTop w:val="0"/>
      <w:marBottom w:val="0"/>
      <w:divBdr>
        <w:top w:val="none" w:sz="0" w:space="0" w:color="auto"/>
        <w:left w:val="none" w:sz="0" w:space="0" w:color="auto"/>
        <w:bottom w:val="none" w:sz="0" w:space="0" w:color="auto"/>
        <w:right w:val="none" w:sz="0" w:space="0" w:color="auto"/>
      </w:divBdr>
      <w:divsChild>
        <w:div w:id="1335646662">
          <w:blockQuote w:val="1"/>
          <w:marLeft w:val="720"/>
          <w:marRight w:val="720"/>
          <w:marTop w:val="100"/>
          <w:marBottom w:val="100"/>
          <w:divBdr>
            <w:top w:val="none" w:sz="0" w:space="0" w:color="auto"/>
            <w:left w:val="none" w:sz="0" w:space="0" w:color="auto"/>
            <w:bottom w:val="none" w:sz="0" w:space="0" w:color="auto"/>
            <w:right w:val="none" w:sz="0" w:space="0" w:color="auto"/>
          </w:divBdr>
        </w:div>
        <w:div w:id="481384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shb.nlm.nih.gov/record/ui?ui=D013904&amp;utm_source=chatgpt.com" TargetMode="External"/><Relationship Id="rId5" Type="http://schemas.openxmlformats.org/officeDocument/2006/relationships/hyperlink" Target="https://decs.bvsalud.org/ths/resource/?id=13507&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2864</Words>
  <Characters>15471</Characters>
  <Application>Microsoft Office Word</Application>
  <DocSecurity>0</DocSecurity>
  <Lines>128</Lines>
  <Paragraphs>36</Paragraphs>
  <ScaleCrop>false</ScaleCrop>
  <Company/>
  <LinksUpToDate>false</LinksUpToDate>
  <CharactersWithSpaces>18299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2026-08-19T21:48:00Z</dcterms:created>
  <dcterms:modified xsi:type="dcterms:W3CDTF">2026-08-19T21:52:00Z</dcterms:modified>
</cp:coreProperties>
</file>