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5C279" w14:textId="77777777" w:rsidR="00136F14" w:rsidRPr="00136F14" w:rsidRDefault="00136F14" w:rsidP="00136F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Capítulo 23 — Lesões Traumáticas do Sacro</w:t>
      </w:r>
    </w:p>
    <w:p w14:paraId="4DD26E9A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Identificação</w:t>
      </w:r>
    </w:p>
    <w:p w14:paraId="1CE9F133" w14:textId="0A1C373B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Número do capítulo: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 23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completo: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 Lesões Traumáticas do Sacro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br/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Seção do Tratado: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r>
        <w:rPr>
          <w:rFonts w:ascii="Times New Roman" w:eastAsia="Times New Roman" w:hAnsi="Times New Roman" w:cs="Times New Roman"/>
          <w:color w:val="000000"/>
          <w:lang w:eastAsia="pt-BR"/>
        </w:rPr>
        <w:t>3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55D6F08B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Autores</w:t>
      </w:r>
    </w:p>
    <w:p w14:paraId="31D6D51F" w14:textId="77777777" w:rsidR="00136F14" w:rsidRPr="00136F14" w:rsidRDefault="00136F14" w:rsidP="00136F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Luiz Gustavo Dal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Oglio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da Rocha</w:t>
      </w:r>
    </w:p>
    <w:p w14:paraId="19BACAD3" w14:textId="77777777" w:rsidR="00136F14" w:rsidRPr="00136F14" w:rsidRDefault="00136F14" w:rsidP="00136F1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Otávio Vitório Alvarenga Pereira</w:t>
      </w:r>
    </w:p>
    <w:p w14:paraId="2E03BBD9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 capítulo aborda as fraturas sacrais desde a anatomia e a avaliação inicial até a classificação, definição de estabilidade, opções terapêuticas, complicações e novas tecnologias.</w:t>
      </w:r>
    </w:p>
    <w:p w14:paraId="604A3A57" w14:textId="77777777" w:rsidR="00136F14" w:rsidRPr="00136F14" w:rsidRDefault="00136F14" w:rsidP="00136F14">
      <w:pPr>
        <w:spacing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Nota editorial para o site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br/>
        <w:t>Esta página apresenta os conceitos fundamentais do capítulo. Os subtipos completos das classificações, critérios quantitativos, detalhes de corredores de fixação, configurações de implantes e etapas específicas das técnicas cirúrgicas permanecem reservados ao conteúdo integral do </w:t>
      </w:r>
      <w:r w:rsidRPr="00136F14">
        <w:rPr>
          <w:rFonts w:ascii="Times New Roman" w:eastAsia="Times New Roman" w:hAnsi="Times New Roman" w:cs="Times New Roman"/>
          <w:i/>
          <w:iCs/>
          <w:color w:val="000000"/>
          <w:lang w:eastAsia="pt-BR"/>
        </w:rPr>
        <w:t>Tratado de Cirurgia da Coluna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1AACF286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3E2C6822">
          <v:rect id="_x0000_i1036" alt="" style="width:424.75pt;height:.05pt;mso-width-percent:0;mso-height-percent:0;mso-width-percent:0;mso-height-percent:0" o:hrpct="999" o:hralign="center" o:hrstd="t" o:hr="t" fillcolor="#a0a0a0" stroked="f"/>
        </w:pict>
      </w:r>
    </w:p>
    <w:p w14:paraId="77E0CD20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Contexto</w:t>
      </w:r>
    </w:p>
    <w:p w14:paraId="062A4BA6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As fraturas do sacro são lesões relativamente incomuns, porém frequentemente subdiagnosticadas, sobretudo quando ocorrem no contexto do politrauma e sem déficit neurológico evidente. O sacro exerce função central na transferência de cargas entre a coluna e a pelve, participa da estabilidade do anel pélvico e da junção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abriga estruturas neurais responsáveis por funções motoras, sensitivas e autonômicas. As fraturas podem decorrer de traumas de alta energia, mas também ocorrer em situações de fragilidade óssea, após radioterapia ou em pacientes submetidos a determinadas reconstruções espinais extensas. A apresentação clínica varia desde dor localizada até instabilidade hemodinâmica, lesões de partes moles, comprometimento do anel pélvico e déficits neurológicos. O desafio consiste em reconhecer precocemente a lesão, compreender se há instabilidade pélvica ou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integrar morfologia, neurologia, qualidade óssea e lesões associadas para definir a estratégia terapêutica.</w:t>
      </w:r>
    </w:p>
    <w:p w14:paraId="1FA4DF12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48A3AD61">
          <v:rect id="_x0000_i1035" alt="" style="width:424.75pt;height:.05pt;mso-width-percent:0;mso-height-percent:0;mso-width-percent:0;mso-height-percent:0" o:hrpct="999" o:hralign="center" o:hrstd="t" o:hr="t" fillcolor="#a0a0a0" stroked="f"/>
        </w:pict>
      </w:r>
    </w:p>
    <w:p w14:paraId="130E7F1F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Objetivo do capítulo</w:t>
      </w:r>
    </w:p>
    <w:p w14:paraId="2E2F89FA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Apresentar uma abordagem estruturada das fraturas sacrais, integrando anatomia, mecanismos de lesão, fatores predisponentes, avaliação clínica e métodos de imagem. O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leitor deverá compreender os principais sistemas classificatórios, reconhecer a diferença entre estabilidade pélvica 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, identificar situações que permitem tratamento conservador e compreender os princípios das opções cirúrgicas, incluindo fixações percutâneas, construções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, redução aberta 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sacroplastia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70CCFAC2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4A3F3196"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14:paraId="02BCD480" w14:textId="77777777" w:rsidR="00136F14" w:rsidRPr="00136F14" w:rsidRDefault="00136F14" w:rsidP="00136F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Conteúdo principal</w:t>
      </w:r>
    </w:p>
    <w:p w14:paraId="2130D4E5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O sacro como elo entre coluna e pelve</w:t>
      </w:r>
    </w:p>
    <w:p w14:paraId="696416FB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O sacro funciona como ponte entre o esqueleto axial e a cintura pélvica, transmitindo as forças do tronco aos membros inferiores. Sua estabilidade depende das articulações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lombossacral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sacroilíacas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de uma rede ligamentar formada, entre outros elementos, pelos ligamentos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sacroilíacos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iliolombares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sacroespinhosos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sacrotuberosos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As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23.1 a 23.4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ilustram essas relações e demonstram </w:t>
      </w:r>
      <w:proofErr w:type="gram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por que</w:t>
      </w:r>
      <w:proofErr w:type="gram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uma fratura sacral pode comprometer simultaneamente a estabilidade pélvica,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estruturas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neurovasculares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3FD27818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Mecanismo e fatores predisponentes</w:t>
      </w:r>
    </w:p>
    <w:p w14:paraId="0856138E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Os traumas de alta energia constituem o foco principal do capítulo e frequentemente se associam a lesões torácicas, abdominais, cranianas e dos membros. Entretanto, o texto também destaca fraturas por insuficiência relacionadas à osteoporose, idade avançada, sexo feminino e radioterapia pélvica. Artrodeses longas e determinadas ressecções sacrais também podem modificar a distribuição de carga e aumentar a suscetibilidade à fratura.</w:t>
      </w:r>
    </w:p>
    <w:p w14:paraId="6938D21A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Avaliação inicial</w:t>
      </w:r>
    </w:p>
    <w:p w14:paraId="43E10D08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No politrauma, as prioridades são estabilização hemodinâmica e tratamento das lesões ameaçadoras à vida. A avaliação secundária deve incluir inspeção e palpação do sacro, análise das partes moles, pesquisa de lesões abertas e exame neurológico dirigido às raízes sacrais. Sensibilidade perianal, função esfincteriana e avaliação motora e sensitiva padronizada são particularmente relevantes.</w:t>
      </w:r>
    </w:p>
    <w:p w14:paraId="2BBDC0BA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 capítulo chama atenção para lesões de Morel-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Lavallée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para a possibilidade de lesões vasculares associadas à ruptura do anel pélvico, situações que podem modificar significativamente o manejo. A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Tabela 23.1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 organiza os princípios do exame neurológico.</w:t>
      </w:r>
    </w:p>
    <w:p w14:paraId="29976ABA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Classificação e estabilidade</w:t>
      </w:r>
    </w:p>
    <w:p w14:paraId="30E61C2A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O sistema AO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é utilizado como principal estrutura de classificação. Conceitualmente, diferencia:</w:t>
      </w:r>
    </w:p>
    <w:p w14:paraId="06D352C0" w14:textId="77777777" w:rsidR="00136F14" w:rsidRPr="00136F14" w:rsidRDefault="00136F14" w:rsidP="00136F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lesões inferiores com pouco impacto sobre a estabilidade pélvica;</w:t>
      </w:r>
    </w:p>
    <w:p w14:paraId="741A3AE8" w14:textId="77777777" w:rsidR="00136F14" w:rsidRPr="00136F14" w:rsidRDefault="00136F14" w:rsidP="00136F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lesões que podem comprometer a estabilidade posterior da pelve;</w:t>
      </w:r>
    </w:p>
    <w:p w14:paraId="2D52C819" w14:textId="77777777" w:rsidR="00136F14" w:rsidRPr="00136F14" w:rsidRDefault="00136F14" w:rsidP="00136F1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lesões capazes de produzir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instabilidade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5BD33D9F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>As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23.6 a 23.8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 apresentam esses grupos, e a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Tabela 23.2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 acrescenta condição neurológica e modificadores relacionados às partes moles, qualidade óssea e comprometimento do anel pélvico ou da articulação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sacroilíaca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51EFF519" w14:textId="5B889725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As classificações de Denis,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Isler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Roy-Camille permanecem úteis para descrever, respectivamente, relação com forames e canal, envolvimento da articulação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lombossacral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padrões de deslocamento das fraturas transversais. A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 23.9</w:t>
      </w:r>
      <w:r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sintetiza essas perspectivas complementares.</w:t>
      </w:r>
    </w:p>
    <w:p w14:paraId="7D9A8EFA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Diagnóstico por imagem</w:t>
      </w:r>
    </w:p>
    <w:p w14:paraId="2D6C174A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Radiografias podem fazer parte da avaliação inicial, mas apresentam limitações importantes. A tomografia computadorizada (TC) é o método principal para caracterizar a morfologia e o deslocamento da fratura. A ressonância magnética (RM) tem papel complementar, particularmente quando há déficit neurológico não explicado ou na investigação de fraturas por estresse ou insuficiência. O próprio capítulo não recomenda RM rotineira em todos os traumas de alta energia quando a TC e o exame clínico já respondem às questões relevantes.</w:t>
      </w:r>
    </w:p>
    <w:p w14:paraId="26C63F23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Princípios do tratamento</w:t>
      </w:r>
    </w:p>
    <w:p w14:paraId="1E70DF9C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Fraturas estáveis, sem déficit neurológico relevante e com sintomas controláveis podem ser tratadas conservadoramente, com controle da dor, mobilização e reabilitação progressiva, além do tratamento de fatores como osteoporose.</w:t>
      </w:r>
    </w:p>
    <w:p w14:paraId="6B3F187E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Quando há instabilidade, deslocamento, dissociação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ou comprometimento neurológico, diferentes estratégias de estabilização podem ser empregadas. O capítulo apresenta fixação percutânea,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osteossíntese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triangular, fixação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lombopélvica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redução aberta com fixação interna, ilustradas nas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Figuras 23.10 a 23.22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. A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sacroplastia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é discutida separadamente para fraturas por insuficiência sintomáticas que não responderam adequadamente às medidas conservadoras.</w:t>
      </w:r>
    </w:p>
    <w:p w14:paraId="6E9B9C25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755E2F0A"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14:paraId="62C239BD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Aplicação clínica</w:t>
      </w:r>
    </w:p>
    <w:p w14:paraId="502E0311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Na prática, a primeira decisão é reconhecer se o paciente apresenta apenas uma fratura sacral ou uma lesão integrada a um quadro de instabilidade pélvica, dissociação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ou politrauma. A avaliação deve começar pelas prioridades vitais e prosseguir com inspeção das partes moles, estabilidade do anel pélvico e exame neurológico completo. Em lesões de alta energia, um exame inicial pouco expressivo não deve excluir a possibilidade de fratura sacral.</w:t>
      </w:r>
    </w:p>
    <w:p w14:paraId="1038833D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 TC deve definir a morfologia e as relações anatômicas relevantes. Em seguida, o sistema AO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ajuda a organizar a gravidade biomecânica da lesão, enquanto o estado neurológico e os modificadores clínicos acrescentam elementos capazes de alterar a estratégia. As classificações históricas permanecem úteis quando uma pergunta específica envolve o canal sacral, os forames, a articulação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lombossacral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ou o padrão de deslocamento.</w:t>
      </w:r>
    </w:p>
    <w:p w14:paraId="630F6964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A escolha do tratamento deve ser proporcional à instabilidade. Fixações percutâneas podem ser apropriadas em determinadas fraturas com alinhamento aceitável, enquanto dissociações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 lesões multidirecionais demandam construções capazes de conectar funcionalmente a coluna à pelve. Déficit neurológico, deformidade, partes moles, qualidade óssea e necessidade de mobilização precoce devem participar da decisão. O seguimento deve procurar perda da redução, complicações da ferida, falha do implante, persistência de dor e déficit neurológico.</w:t>
      </w:r>
    </w:p>
    <w:p w14:paraId="614AFDF0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393F93E3"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14:paraId="14FCCD83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Mensagem central</w:t>
      </w:r>
    </w:p>
    <w:p w14:paraId="4164CE97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As fraturas do sacro devem ser compreendidas como lesões da interface entre </w:t>
      </w: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coluna, pelve e estruturas neurais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. A morfologia isolada não define o tratamento: estabilidade pélvica 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, estado neurológico, partes moles, qualidade óssea e lesões associadas precisam ser analisados em conjunto. A classificação AO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organiza esse raciocínio, enquanto a TC caracteriza a lesão e diferentes estratégias terapêuticas são escolhidas conforme a estabilidade e a necessidade funcional do paciente.</w:t>
      </w:r>
    </w:p>
    <w:p w14:paraId="535652F1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57192BAD"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14:paraId="31B8CA75" w14:textId="77777777" w:rsidR="00136F14" w:rsidRPr="00136F14" w:rsidRDefault="00136F14" w:rsidP="00136F14">
      <w:pPr>
        <w:spacing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Por que este capítulo importa</w:t>
      </w:r>
    </w:p>
    <w:p w14:paraId="193BBB5B" w14:textId="77777777" w:rsidR="00136F14" w:rsidRPr="00136F14" w:rsidRDefault="00136F14" w:rsidP="00136F14">
      <w:pPr>
        <w:spacing w:before="100" w:beforeAutospacing="1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Uma fratura do sacro pode passar despercebida em meio às múltiplas prioridades do politrauma e, ainda assim, determinar instabilidade, déficit neurológico, dor persistente ou deformidade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O capítulo mostra por que é insuficiente identificar apenas o traço da fratura: é necessário compreender se a coluna continua funcionalmente conectada à pelve, quais estruturas neurais estão envolvidas e se as partes moles permitem determinada abordagem. Essa leitura integrada reduz omissões diagnósticas e ajuda a selecionar entre observação, fixação limitada ou reconstruções mais robustas de maneira proporcional à gravidade da lesão.</w:t>
      </w:r>
    </w:p>
    <w:p w14:paraId="238F4529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7BAD7F3C"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14:paraId="4A5D0B16" w14:textId="77777777" w:rsidR="00136F14" w:rsidRPr="00136F14" w:rsidRDefault="00136F14" w:rsidP="00136F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Palavras-chave e descritores</w:t>
      </w:r>
    </w:p>
    <w:p w14:paraId="6E7F38FC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135"/>
      </w:tblGrid>
      <w:tr w:rsidR="00136F14" w:rsidRPr="00136F14" w14:paraId="2231822D" w14:textId="77777777" w:rsidTr="00136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A0E44" w14:textId="77777777" w:rsidR="00136F14" w:rsidRPr="00136F14" w:rsidRDefault="00136F14" w:rsidP="00136F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DeCS</w:t>
            </w:r>
            <w:proofErr w:type="spellEnd"/>
            <w:r w:rsidRPr="00136F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português</w:t>
            </w:r>
          </w:p>
        </w:tc>
        <w:tc>
          <w:tcPr>
            <w:tcW w:w="0" w:type="auto"/>
            <w:vAlign w:val="center"/>
            <w:hideMark/>
          </w:tcPr>
          <w:p w14:paraId="79C1FDC6" w14:textId="77777777" w:rsidR="00136F14" w:rsidRPr="00136F14" w:rsidRDefault="00136F14" w:rsidP="00136F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MeSH</w:t>
            </w:r>
            <w:proofErr w:type="spellEnd"/>
            <w:r w:rsidRPr="00136F1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 — inglês</w:t>
            </w:r>
          </w:p>
        </w:tc>
      </w:tr>
      <w:tr w:rsidR="00136F14" w:rsidRPr="00136F14" w14:paraId="5ACF45BF" w14:textId="77777777" w:rsidTr="00136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CBE4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Sacro</w:t>
            </w:r>
          </w:p>
        </w:tc>
        <w:tc>
          <w:tcPr>
            <w:tcW w:w="0" w:type="auto"/>
            <w:vAlign w:val="center"/>
            <w:hideMark/>
          </w:tcPr>
          <w:p w14:paraId="3CA9D7F9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Sacrum</w:t>
            </w:r>
            <w:proofErr w:type="spellEnd"/>
          </w:p>
        </w:tc>
      </w:tr>
      <w:tr w:rsidR="00136F14" w:rsidRPr="00136F14" w14:paraId="4BCAD74D" w14:textId="77777777" w:rsidTr="00136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8581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Fraturas da Coluna Vertebral</w:t>
            </w:r>
          </w:p>
        </w:tc>
        <w:tc>
          <w:tcPr>
            <w:tcW w:w="0" w:type="auto"/>
            <w:vAlign w:val="center"/>
            <w:hideMark/>
          </w:tcPr>
          <w:p w14:paraId="6E158CE3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Spinal</w:t>
            </w:r>
            <w:proofErr w:type="spellEnd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Fractures</w:t>
            </w:r>
            <w:proofErr w:type="spellEnd"/>
          </w:p>
        </w:tc>
      </w:tr>
      <w:tr w:rsidR="00136F14" w:rsidRPr="00136F14" w14:paraId="41E3E160" w14:textId="77777777" w:rsidTr="00136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821C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Articulação </w:t>
            </w: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Sacroilíaca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63D8B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Sacroiliac</w:t>
            </w:r>
            <w:proofErr w:type="spellEnd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Joint</w:t>
            </w:r>
          </w:p>
        </w:tc>
      </w:tr>
      <w:tr w:rsidR="00136F14" w:rsidRPr="00136F14" w14:paraId="5DAF9B73" w14:textId="77777777" w:rsidTr="00136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FE95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Osteoporose</w:t>
            </w:r>
          </w:p>
        </w:tc>
        <w:tc>
          <w:tcPr>
            <w:tcW w:w="0" w:type="auto"/>
            <w:vAlign w:val="center"/>
            <w:hideMark/>
          </w:tcPr>
          <w:p w14:paraId="57B88ABF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Osteoporosis</w:t>
            </w:r>
            <w:proofErr w:type="spellEnd"/>
          </w:p>
        </w:tc>
      </w:tr>
      <w:tr w:rsidR="00136F14" w:rsidRPr="00136F14" w14:paraId="0E938458" w14:textId="77777777" w:rsidTr="00136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715B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Fraturas por Osteoporose</w:t>
            </w:r>
          </w:p>
        </w:tc>
        <w:tc>
          <w:tcPr>
            <w:tcW w:w="0" w:type="auto"/>
            <w:vAlign w:val="center"/>
            <w:hideMark/>
          </w:tcPr>
          <w:p w14:paraId="47687D16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Osteoporotic</w:t>
            </w:r>
            <w:proofErr w:type="spellEnd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Fractures</w:t>
            </w:r>
            <w:proofErr w:type="spellEnd"/>
          </w:p>
        </w:tc>
      </w:tr>
      <w:tr w:rsidR="00136F14" w:rsidRPr="00136F14" w14:paraId="4E78915F" w14:textId="77777777" w:rsidTr="00136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E528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Pelve</w:t>
            </w:r>
          </w:p>
        </w:tc>
        <w:tc>
          <w:tcPr>
            <w:tcW w:w="0" w:type="auto"/>
            <w:vAlign w:val="center"/>
            <w:hideMark/>
          </w:tcPr>
          <w:p w14:paraId="238C0A6C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Pelvis</w:t>
            </w:r>
            <w:proofErr w:type="spellEnd"/>
          </w:p>
        </w:tc>
      </w:tr>
      <w:tr w:rsidR="00136F14" w:rsidRPr="00136F14" w14:paraId="1D98F56D" w14:textId="77777777" w:rsidTr="00136F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D5F0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Tomografia Computadorizada por Raios X</w:t>
            </w:r>
          </w:p>
        </w:tc>
        <w:tc>
          <w:tcPr>
            <w:tcW w:w="0" w:type="auto"/>
            <w:vAlign w:val="center"/>
            <w:hideMark/>
          </w:tcPr>
          <w:p w14:paraId="4AB5054B" w14:textId="77777777" w:rsidR="00136F14" w:rsidRPr="00136F14" w:rsidRDefault="00136F14" w:rsidP="00136F14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Tomography</w:t>
            </w:r>
            <w:proofErr w:type="spellEnd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, X-Ray </w:t>
            </w:r>
            <w:proofErr w:type="spellStart"/>
            <w:r w:rsidRPr="00136F14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Computed</w:t>
            </w:r>
            <w:proofErr w:type="spellEnd"/>
          </w:p>
        </w:tc>
      </w:tr>
    </w:tbl>
    <w:p w14:paraId="3B1DB48E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Palavras-chave livres adicionais</w:t>
      </w:r>
    </w:p>
    <w:p w14:paraId="7DA49096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Fratura sacral; dissociação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classificação AO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Sacral;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osteossíntese</w:t>
      </w:r>
      <w:proofErr w:type="spellEnd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triangular; fixação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lombopélvica</w:t>
      </w:r>
      <w:proofErr w:type="spellEnd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fixação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iliossacral</w:t>
      </w:r>
      <w:proofErr w:type="spellEnd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; fratura por insuficiência sacral;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sacroplastia</w:t>
      </w:r>
      <w:proofErr w:type="spellEnd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.</w:t>
      </w:r>
    </w:p>
    <w:p w14:paraId="4ED16A3D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49F71682"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14:paraId="52E58CD0" w14:textId="77777777" w:rsidR="00136F14" w:rsidRPr="00136F14" w:rsidRDefault="00136F14" w:rsidP="00136F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Três cards de destaque</w:t>
      </w:r>
    </w:p>
    <w:p w14:paraId="4B57DB8F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1 — Conceito essencial</w:t>
      </w:r>
    </w:p>
    <w:p w14:paraId="048EC82E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Sacro conecta coluna e pelve</w:t>
      </w:r>
    </w:p>
    <w:p w14:paraId="74A24E45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O sacro não é apenas uma vértebra terminal: ele transfere cargas entre a coluna e a pelve e participa da estabilidade do anel pélvico e da junção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Por isso, determinadas fraturas podem desconectar funcionalmente esses dois sistemas e exigir estratégias de estabilização diferentes das utilizadas em uma fratura isolada.</w:t>
      </w:r>
    </w:p>
    <w:p w14:paraId="11A1AACD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272760DB"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14:paraId="02222629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2 — Decisão clínica</w:t>
      </w:r>
    </w:p>
    <w:p w14:paraId="731EA265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Defina qual estabilidade foi perdida</w:t>
      </w:r>
    </w:p>
    <w:p w14:paraId="79490309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 classificação deve responder se a lesão preserva a estabilidade, compromete predominantemente o anel pélvico posterior ou produz instabilidade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Essa distinção, combinada ao exame neurológico e aos modificadores clínicos, é mais útil para a tomada de decisão do que considerar somente a localização do traço de fratura.</w:t>
      </w:r>
    </w:p>
    <w:p w14:paraId="01067B44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2CBB6D0E"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14:paraId="70B39114" w14:textId="77777777" w:rsidR="00136F14" w:rsidRPr="00136F14" w:rsidRDefault="00136F14" w:rsidP="00136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>Card 3 — Pérola ou alerta</w:t>
      </w:r>
    </w:p>
    <w:p w14:paraId="33D1A102" w14:textId="77777777" w:rsidR="00136F14" w:rsidRPr="00136F14" w:rsidRDefault="00136F14" w:rsidP="00136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Radiografia normal não encerra investigação</w:t>
      </w:r>
    </w:p>
    <w:p w14:paraId="0C1A8898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Fraturas sacrais podem ser pouco evidentes nos exames iniciais, especialmente em pacientes idosos ou no contexto do politrauma. Quando existe suspeita clínica, a TC assume papel central na caracterização morfológica. A RM deve ser reservada às perguntas que realmente necessitam avaliação adicional de osso, estruturas neurais ou fraturas por insuficiência.</w:t>
      </w:r>
    </w:p>
    <w:p w14:paraId="70F6F1E7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2D536E1B"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14:paraId="4CAB1E15" w14:textId="77777777" w:rsidR="00136F14" w:rsidRPr="00136F14" w:rsidRDefault="00136F14" w:rsidP="00136F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Referências bibliográficas</w:t>
      </w:r>
    </w:p>
    <w:p w14:paraId="5BADEC83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lastRenderedPageBreak/>
        <w:t xml:space="preserve">As referências foram </w:t>
      </w:r>
      <w:proofErr w:type="gram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mantidas na mesma</w:t>
      </w:r>
      <w:proofErr w:type="gram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ordem do capítulo, com normalização apenas de pontuação e apresentação, sem acrescentar informações ausentes por suposição.</w:t>
      </w:r>
    </w:p>
    <w:p w14:paraId="3A57321C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Denis F, Davis S, Comfort T. Sacral fractures: an important problem.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Retrospective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analysis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236 cases.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Relat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Res. 1988;(227):67-81.</w:t>
      </w:r>
    </w:p>
    <w:p w14:paraId="3E2A31D1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Bydon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De la Garza-Ramos R,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Macki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Desai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Gokaslan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AK,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Bydon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A. Incidence of sacral fractures and in-hospital postoperative complications in the United States.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2014;39(18):E1103-9.</w:t>
      </w:r>
    </w:p>
    <w:p w14:paraId="73C5EA00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Bencardino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JT, Stone TJ, Roberts CC, Appel M, Baccei SJ, Cassidy RC, et al. ACR Appropriateness Criteria® Stress (Fatigue/Insufficiency) Fracture, Including Sacrum, Excluding Other Vertebrae.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J Am Coll Radiol. 2017;14(5):S293-306.</w:t>
      </w:r>
    </w:p>
    <w:p w14:paraId="0AAF025B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Russo GA. Trabecular bone structural variation in the proximal sacrum among primates.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Anat Rec. 2019;302(8):1354-71.</w:t>
      </w:r>
    </w:p>
    <w:p w14:paraId="76FA1660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Esteban JM, Martín-Serra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Varón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-González C, Pérez-Ramos A, Velasco D, Pastor FJ, et al.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Morphological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evolution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of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the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carnivoran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sacrum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J Anat. 2020;237(6):1087-102.</w:t>
      </w:r>
    </w:p>
    <w:p w14:paraId="73395F5A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Rose PS. The management of sacral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tumours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Bone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Joint J. 2022;104-</w:t>
      </w:r>
      <w:proofErr w:type="gram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B(</w:t>
      </w:r>
      <w:proofErr w:type="gram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12):1284-91.</w:t>
      </w:r>
    </w:p>
    <w:p w14:paraId="7B0BF0E9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Meredith DS, Taher F,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Cammisa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FP, Girardi FP. Incidence, diagnosis, and management of sacral fractures following multilevel spinal arthrodesis.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J. 2013;13(11):1464-9.</w:t>
      </w:r>
    </w:p>
    <w:p w14:paraId="1426062B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Mikula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AL, Pennington Z,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Lakomkin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N,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Prablek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Amini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B, Karim SM, et al. Risk factors for sacral fracture following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en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bloc chordoma resection.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2023;39(5):611-7.</w:t>
      </w:r>
    </w:p>
    <w:p w14:paraId="11C76C47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Lee SH, Kim DH, Park JH, Lee DG, Park CK, Kang DH. Incidence and risk factors of sacral fracture following lumbosacral fusion for degenerative spinal stenosis with a minimum follow-up of 2 years: a case-control study.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World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2024;191:e633-43.</w:t>
      </w:r>
    </w:p>
    <w:p w14:paraId="2A918C4D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Salzmann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SN, Ortiz Miller C,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Carrino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JA, Yang J,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Shue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J, Sama AA, et al. </w:t>
      </w: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BMI and gender increase risk of sacral fractures after multilevel instrumented spinal fusion compared with bone mineral density and pelvic parameters.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J. 2019;19(2):238-45.</w:t>
      </w:r>
    </w:p>
    <w:p w14:paraId="2CC03BC4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Sugimoto Y, Ito Y, Tomioka M, Tanaka M, Hasegawa Y,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Nakago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et al. Risk factors for lumbosacral plexus palsy related to pelvic fracture.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Phila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1976). 2010;35(9):963-6.</w:t>
      </w:r>
    </w:p>
    <w:p w14:paraId="65C1A737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Odate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Shikata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Kimura H,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Soeda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T. Sacral fracture after instrumented lumbosacral fusion. Spine (Phila Pa 1976).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2013;38(4):E223-9.</w:t>
      </w:r>
    </w:p>
    <w:p w14:paraId="5138E117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Kim HJ, Boland PJ, Meredith DS, Lis E, Zhang Z, Shi W, et al. Fractures of the sacrum after chemoradiation for rectal carcinoma: incidence, risk factors, and radiographic evaluation.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Radiat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Oncol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Biol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Phys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2012;84(3):694-9.</w:t>
      </w:r>
    </w:p>
    <w:p w14:paraId="0E200FB7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Vaccaro AR, Schroeder GD, Divi SN, Kepler CK,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Kleweno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CP, Krieg JC, et al. Description and reliability of the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AOSpine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Sacral Classification System. J Bone Joint Surg Am. 2020;102(16):1454-63.</w:t>
      </w:r>
    </w:p>
    <w:p w14:paraId="7F07A995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Urrutia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Meissner-Haecker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Astur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N, Valencia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Yurac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Camino-Willhuber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G, et al. </w:t>
      </w: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An independent inter- and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intraobserver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agreement assessment of the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AOSpine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sacral fracture classification system.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J. 2021;21(7):1143-8.</w:t>
      </w:r>
    </w:p>
    <w:p w14:paraId="6401AB9E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Meissner-Haecker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A, Diaz-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Ledezma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C,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Klaber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I, Zamora T, Valencia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Camino-Willhuber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G, et al. </w:t>
      </w: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Inter- and intra-observer agreement using the new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AOSpine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sacral fracture classification, with a comparison between spine and pelvic trauma surgeons.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Injury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2022;53(2):514-8.</w:t>
      </w:r>
    </w:p>
    <w:p w14:paraId="2F21BB38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Kweh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BTS, Tee JW, Oner FC,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Schnake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KJ,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Vialle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EN,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Kanziora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et al. Evolution of the AO Spine Sacral and Pelvic Classification System: a systematic review.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Neurosurg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2022;37(6):914-26.</w:t>
      </w:r>
    </w:p>
    <w:p w14:paraId="3C181F9F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Dreizin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Smith EB. CT of sacral fractures: classification systems and management.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Radiographics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2022;42(7):1975-93.</w:t>
      </w:r>
    </w:p>
    <w:p w14:paraId="0481ED28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Pascal-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Moussellard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H, Hirsch C,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Bonaccorsi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R. Osteosynthesis in sacral fracture and lumbosacral dislocation.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Traumatol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Res. 2016;102(1):S45-57.</w:t>
      </w:r>
    </w:p>
    <w:p w14:paraId="0773DB92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Hak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DJ, Baran S,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Stahel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P. Sacral fractures: current strategies in diagnosis and management.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Orthopedics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2009;32(10):752-7.</w:t>
      </w:r>
    </w:p>
    <w:p w14:paraId="02BB20D2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Gewiess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Albers CE, Keel MJB,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Frihagen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Rommens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PM, Bastian JD. Chronic pelvic insufficiency fractures and their treatment. Arch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Trauma Surg. 2024;145(1):76.</w:t>
      </w:r>
    </w:p>
    <w:p w14:paraId="5FE6D547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Schicho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Schmidt SA,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Seeber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Olivier A, Richter PH,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Gebhard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F. Pelvic X-ray misses out on detecting sacral fractures in the elderly – importance of CT imaging in blunt pelvic trauma.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Injury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2016;47(3):707-10.</w:t>
      </w:r>
    </w:p>
    <w:p w14:paraId="3590FF74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Benjamin ER, Jakob DA, Myers L,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Liasidis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P, Lewis M, Fu Y, et al. The trauma pelvic X-ray: not all pelvic fractures are created equally.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Am 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2022;224(1):489-93.</w:t>
      </w:r>
    </w:p>
    <w:p w14:paraId="16A4DCE2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Yamauchi T, Sharma S, Chandra S, Tanaka M, Fujiwara Y, Arataki S, et al. Superiority of MRI for evaluation of sacral insufficiency fracture.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Med. 2022;11(17):4968.</w:t>
      </w:r>
    </w:p>
    <w:p w14:paraId="4DBA987A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Andresen JR,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Radmer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Andresen R, Prokop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Schröder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G, Nissen U, et al. Comparative outcome of different treatment options for fragility fractures of the sacrum.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BMC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Musculoskelet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Disord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2022;23(1):1106.</w:t>
      </w:r>
    </w:p>
    <w:p w14:paraId="0A785A03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Schramm S,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Kopschina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Gaßmann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KG,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Fujak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A. Is the conservative treatment of sacral insufficiency fractures still up to date? Retrospective clinical observational study in 46 patients.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Traumatol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Surg Res. 2023;109(2):103495.</w:t>
      </w:r>
    </w:p>
    <w:p w14:paraId="4621E8D3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Kramer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Naisan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Kindel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S, Richter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Ringel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F, Hartung P. Retrospective evaluation of percutaneous 3D-navigated screw fixation for fragility fractures of the sacrum: technical notes and four-year experience.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Sci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Rep. 2023;13(1):12254.</w:t>
      </w:r>
    </w:p>
    <w:p w14:paraId="1DEDC849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Chen JP, Tsai PJ,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Su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CY, Tseng IC, Chou YC, Chen IJ, et al. Percutaneous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iliosacral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screw and trans-iliac trans-sacral screw with single C-arm fluoroscope intensifier is a safe treatment for pelvic ring injuries.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Sci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Rep. 2022;12(1):368.</w:t>
      </w:r>
    </w:p>
    <w:p w14:paraId="462965FF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Jäckle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K,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Paulisch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Blüchel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T, Meier M, Seitz M, Acharya MR, et al. Analysis of trans-sacral corridors in stabilization of fractures of the pelvic ring.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Res. 2022;40(5):1194-202.</w:t>
      </w:r>
    </w:p>
    <w:p w14:paraId="3D3ABA6F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Walker JB, Mitchell SM, Karr SD, Lowe JA, Jones CB. Percutaneous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transiliac-transsacral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screw fixation of sacral fragility fractures </w:t>
      </w:r>
      <w:proofErr w:type="gram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improves</w:t>
      </w:r>
      <w:proofErr w:type="gram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pain, ambulation, and rate of disposition to home.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Trauma. 2018;32(9):452-6.</w:t>
      </w:r>
    </w:p>
    <w:p w14:paraId="110F0327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Deng J, Zhu Z, Li T, Li J, Mo J, Chen S, et al. A new technique for percutaneous screw fixation for treating FFP IIIa and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IIIb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fragility fractures of the pelvis.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Sci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Rep. 2024;14(1):17681.</w:t>
      </w:r>
    </w:p>
    <w:p w14:paraId="07F8A5F2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Brodell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JD, Lawlor MC, Santangelo G,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Kulp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Haddas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Mbagwu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C, et al. Percutaneous lumbopelvic fixation is effective in the management of unstable transverse sacral fractures.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Injury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2024;55(11):111825.</w:t>
      </w:r>
    </w:p>
    <w:p w14:paraId="6902DFEC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lastRenderedPageBreak/>
        <w:t>Haveman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Bäumlein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van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Veelen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N,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Oberkircher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Beeres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FJP,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Babst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et al. Percutaneous sacroiliac screw fixation in fragility fractures of the pelvis: comparison of two different augmentation techniques.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Injury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2022;53(12):4062-6.</w:t>
      </w:r>
    </w:p>
    <w:p w14:paraId="2E55449D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Ma Y, Wu Y, Li Z, Li D, Yin Q, Li X. Biomechanical </w:t>
      </w:r>
      <w:proofErr w:type="gram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study</w:t>
      </w:r>
      <w:proofErr w:type="gram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preliminary application of percutaneous retrograde sacral alar-iliac screw for fixation of sacroiliac joint with low bone density.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Injury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2025;56(4):112267.</w:t>
      </w:r>
    </w:p>
    <w:p w14:paraId="183619BF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Sevillano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-Perez E, Prado-Novoa M, Postigo-Pozo S,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Peña-Trabalon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Guerado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E. L4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fixation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not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necessary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in L5-Iliac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spinopelvic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fixation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after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trauma,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but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coadjutant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transilio-transsacral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fixation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Injury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2024;55(3):111378.</w:t>
      </w:r>
    </w:p>
    <w:p w14:paraId="6E867EA3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Godolias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P,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Plümer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J,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Cibura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C,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Dudda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Schildhauer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TA, Chapman JR. </w:t>
      </w: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Posterior pelvic ring injuries, lumbosacral junction instabilities and stabilization techniques for spinopelvic dissociation: a narrative review.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Arch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Trauma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Surg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2024;144(4):1627-35.</w:t>
      </w:r>
    </w:p>
    <w:p w14:paraId="38B533A5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Singh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Balmaceno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-Criss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Knebel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Kuharski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Sakr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I, Daher M, et al.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Sacroplasty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for sacral insufficiency fractures: narrative literature review on patient selection, technical approaches, and outcomes.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Clin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Med. 2024;13(4):1101.</w:t>
      </w:r>
    </w:p>
    <w:p w14:paraId="1A8B014F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Beall DP,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Shonnard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NH,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Shonnard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MC, Yoon ES,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Norwitz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J, Phillips JE, et al. An interim analysis of the first 102 patients treated in the Prospective Vertebral Augmentation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Sacroplasty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Fracture Registry.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Vasc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Interv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Radiol. 2023;34(9):1477-84.</w:t>
      </w:r>
    </w:p>
    <w:p w14:paraId="61BDE84C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Chandra V,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Wajswol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E, Shukla P, Contractor S, Kumar A. </w:t>
      </w:r>
      <w:proofErr w:type="gram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Safety</w:t>
      </w:r>
      <w:proofErr w:type="gram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and efficacy of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sacroplasty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for sacral fractures: a systematic review and meta-analysis.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Vasc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Interv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Radiol. 2019;30(11):1845-54.</w:t>
      </w:r>
    </w:p>
    <w:p w14:paraId="4D859914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Tian QH, Han K, Wang T, Min DL, Wu CG. Percutaneous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sacroplasty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with or without radiofrequency ablation for treatment of painful sacral metastases.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AJNR Am 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Neuroradiol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2022;43(8):1222-7.</w:t>
      </w:r>
    </w:p>
    <w:p w14:paraId="194E7C92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Nicholson PJ, Hilditch CA,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Brinjikji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W, Tsang ACO, Smith R. Single-needle lateral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sacroplasty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technique. 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AJNR Am J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Neuroradiol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2019;40(2):382-5.</w:t>
      </w:r>
    </w:p>
    <w:p w14:paraId="730D9A85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Schwetje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D,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Wahd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YESH,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Bornemann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Jansen TR,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Pflugmacher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R,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Kasapovic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A. Balloon-assisted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sacroplasty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as a successful procedure for osteoporotic sacral insufficiency fractures after failure of the conservative treatment.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Sci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Rep. 2020;10(1):18455.</w:t>
      </w:r>
    </w:p>
    <w:p w14:paraId="6BEDC3F8" w14:textId="77777777" w:rsidR="00136F14" w:rsidRPr="00136F14" w:rsidRDefault="00136F14" w:rsidP="00136F1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Liuzza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F,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Silluzio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N,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Florio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M, El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Ezzo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O,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Cazzato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G,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Ciolli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G, et al. </w:t>
      </w:r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Comparison between posterior sacral plate stabilization versus minimally invasive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transiliac-transsacral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lag-screw fixation in fractures of sacrum: a single-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>centre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val="en-US" w:eastAsia="pt-BR"/>
        </w:rPr>
        <w:t xml:space="preserve"> experience.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Int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Orthop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. 2019;43(1):177-85.</w:t>
      </w:r>
    </w:p>
    <w:p w14:paraId="7C444918" w14:textId="77777777" w:rsidR="00136F14" w:rsidRPr="00136F14" w:rsidRDefault="0094088D" w:rsidP="00136F14">
      <w:pPr>
        <w:rPr>
          <w:rFonts w:ascii="Times New Roman" w:eastAsia="Times New Roman" w:hAnsi="Times New Roman" w:cs="Times New Roman"/>
          <w:lang w:eastAsia="pt-BR"/>
        </w:rPr>
      </w:pPr>
      <w:r w:rsidRPr="00136F14">
        <w:rPr>
          <w:rFonts w:ascii="Times New Roman" w:eastAsia="Times New Roman" w:hAnsi="Times New Roman" w:cs="Times New Roman"/>
          <w:noProof/>
          <w:lang w:eastAsia="pt-BR"/>
        </w:rPr>
        <w:pict w14:anchorId="74B3C83D"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14:paraId="62B51501" w14:textId="77777777" w:rsidR="00136F14" w:rsidRPr="00136F14" w:rsidRDefault="00136F14" w:rsidP="00136F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t-BR"/>
        </w:rPr>
        <w:t>Metadados para publicação</w:t>
      </w:r>
    </w:p>
    <w:p w14:paraId="57F3A7CB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Título SEO: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 Lesões traumáticas do sacro | Tratado</w:t>
      </w:r>
    </w:p>
    <w:p w14:paraId="39790E2F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Meta descrição: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 Síntese das fraturas sacrais: anatomia, classificação AO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Spine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, diagnóstico por imagem, estabilidade, tratamento e prevenção de complicações.</w:t>
      </w:r>
    </w:p>
    <w:p w14:paraId="7421E914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lastRenderedPageBreak/>
        <w:t>Resumo de chamada: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 xml:space="preserve"> Entenda como anatomia, estabilidade </w:t>
      </w:r>
      <w:proofErr w:type="spellStart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espinopélvica</w:t>
      </w:r>
      <w:proofErr w:type="spellEnd"/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, condição neurológica e morfologia orientam o diagnóstico e o tratamento das principais fraturas do sacro.</w:t>
      </w:r>
    </w:p>
    <w:p w14:paraId="53F79375" w14:textId="77777777" w:rsidR="00136F14" w:rsidRPr="00136F14" w:rsidRDefault="00136F14" w:rsidP="00136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pt-BR"/>
        </w:rPr>
      </w:pPr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Sugestão de </w:t>
      </w:r>
      <w:proofErr w:type="spellStart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slug</w:t>
      </w:r>
      <w:proofErr w:type="spellEnd"/>
      <w:r w:rsidRPr="00136F14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:</w:t>
      </w:r>
      <w:r w:rsidRPr="00136F14">
        <w:rPr>
          <w:rFonts w:ascii="Times New Roman" w:eastAsia="Times New Roman" w:hAnsi="Times New Roman" w:cs="Times New Roman"/>
          <w:color w:val="000000"/>
          <w:lang w:eastAsia="pt-BR"/>
        </w:rPr>
        <w:t> </w:t>
      </w:r>
      <w:proofErr w:type="spellStart"/>
      <w:r w:rsidRPr="00136F14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lesoes</w:t>
      </w:r>
      <w:proofErr w:type="spellEnd"/>
      <w:r w:rsidRPr="00136F14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</w:t>
      </w:r>
      <w:proofErr w:type="spellStart"/>
      <w:r w:rsidRPr="00136F14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traumaticas</w:t>
      </w:r>
      <w:proofErr w:type="spellEnd"/>
      <w:r w:rsidRPr="00136F14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-do-sacro</w:t>
      </w:r>
    </w:p>
    <w:p w14:paraId="2BC0DC18" w14:textId="77777777" w:rsidR="003C2187" w:rsidRDefault="00000000"/>
    <w:sectPr w:rsidR="003C2187" w:rsidSect="004611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23CA0"/>
    <w:multiLevelType w:val="multilevel"/>
    <w:tmpl w:val="1C8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D2685"/>
    <w:multiLevelType w:val="multilevel"/>
    <w:tmpl w:val="019C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D82979"/>
    <w:multiLevelType w:val="multilevel"/>
    <w:tmpl w:val="5F4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66005"/>
    <w:multiLevelType w:val="multilevel"/>
    <w:tmpl w:val="CA1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30472">
    <w:abstractNumId w:val="0"/>
  </w:num>
  <w:num w:numId="2" w16cid:durableId="884833037">
    <w:abstractNumId w:val="3"/>
  </w:num>
  <w:num w:numId="3" w16cid:durableId="88671125">
    <w:abstractNumId w:val="1"/>
  </w:num>
  <w:num w:numId="4" w16cid:durableId="236861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14"/>
    <w:rsid w:val="000D7E60"/>
    <w:rsid w:val="00136F14"/>
    <w:rsid w:val="002D732D"/>
    <w:rsid w:val="0045079E"/>
    <w:rsid w:val="00461115"/>
    <w:rsid w:val="005E2B43"/>
    <w:rsid w:val="00602A1B"/>
    <w:rsid w:val="006B0FCD"/>
    <w:rsid w:val="006B691F"/>
    <w:rsid w:val="00743DED"/>
    <w:rsid w:val="007D0808"/>
    <w:rsid w:val="00821A1A"/>
    <w:rsid w:val="008A7C98"/>
    <w:rsid w:val="008B5D87"/>
    <w:rsid w:val="0094088D"/>
    <w:rsid w:val="00A50355"/>
    <w:rsid w:val="00A96B78"/>
    <w:rsid w:val="00B702F2"/>
    <w:rsid w:val="00C20A44"/>
    <w:rsid w:val="00C62276"/>
    <w:rsid w:val="00D973F4"/>
    <w:rsid w:val="00E34133"/>
    <w:rsid w:val="00E8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1C5F4"/>
  <w15:chartTrackingRefBased/>
  <w15:docId w15:val="{EE1905B6-0C1D-FF48-9DDD-8BCD820D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6F1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6F1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6F1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6F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6F1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36F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36F1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136F14"/>
    <w:rPr>
      <w:b/>
      <w:bCs/>
    </w:rPr>
  </w:style>
  <w:style w:type="character" w:customStyle="1" w:styleId="apple-converted-space">
    <w:name w:val="apple-converted-space"/>
    <w:basedOn w:val="Fontepargpadro"/>
    <w:rsid w:val="00136F14"/>
  </w:style>
  <w:style w:type="character" w:styleId="nfase">
    <w:name w:val="Emphasis"/>
    <w:basedOn w:val="Fontepargpadro"/>
    <w:uiPriority w:val="20"/>
    <w:qFormat/>
    <w:rsid w:val="00136F1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36F14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136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7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3097</Words>
  <Characters>16726</Characters>
  <Application>Microsoft Office Word</Application>
  <DocSecurity>0</DocSecurity>
  <Lines>139</Lines>
  <Paragraphs>39</Paragraphs>
  <ScaleCrop>false</ScaleCrop>
  <Company/>
  <LinksUpToDate>false</LinksUpToDate>
  <CharactersWithSpaces>19784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2026-08-19T22:10:00Z</dcterms:created>
  <dcterms:modified xsi:type="dcterms:W3CDTF">2026-08-19T22:13:00Z</dcterms:modified>
</cp:coreProperties>
</file>