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FE30188" w14:textId="77777777" w:rsidR="003F0D51" w:rsidRPr="003F0D51" w:rsidRDefault="003F0D51" w:rsidP="003F0D51">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3F0D51">
        <w:rPr>
          <w:rFonts w:ascii="Times New Roman" w:eastAsia="Times New Roman" w:hAnsi="Times New Roman" w:cs="Times New Roman"/>
          <w:b/>
          <w:bCs/>
          <w:color w:val="000000"/>
          <w:kern w:val="36"/>
          <w:sz w:val="48"/>
          <w:szCs w:val="48"/>
          <w14:ligatures w14:val="none"/>
        </w:rPr>
        <w:t>Capítulo 28 — Escoliose de Início Precoce</w:t>
      </w:r>
    </w:p>
    <w:p w14:paraId="32BE9A58" w14:textId="77777777" w:rsidR="003F0D51" w:rsidRPr="003F0D51" w:rsidRDefault="003F0D51" w:rsidP="003F0D5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F0D51">
        <w:rPr>
          <w:rFonts w:ascii="Times New Roman" w:eastAsia="Times New Roman" w:hAnsi="Times New Roman" w:cs="Times New Roman"/>
          <w:b/>
          <w:bCs/>
          <w:color w:val="000000"/>
          <w:kern w:val="0"/>
          <w:sz w:val="36"/>
          <w:szCs w:val="36"/>
          <w14:ligatures w14:val="none"/>
        </w:rPr>
        <w:t>Identificação</w:t>
      </w:r>
    </w:p>
    <w:p w14:paraId="5533F6F0" w14:textId="25B17168" w:rsidR="003F0D51" w:rsidRPr="003F0D51" w:rsidRDefault="003F0D51" w:rsidP="003F0D51">
      <w:pPr>
        <w:spacing w:before="100" w:beforeAutospacing="1" w:after="100" w:afterAutospacing="1" w:line="240" w:lineRule="auto"/>
        <w:rPr>
          <w:rFonts w:ascii="Times New Roman" w:eastAsia="Times New Roman" w:hAnsi="Times New Roman" w:cs="Times New Roman"/>
          <w:color w:val="000000"/>
          <w:kern w:val="0"/>
          <w14:ligatures w14:val="none"/>
        </w:rPr>
      </w:pPr>
      <w:r w:rsidRPr="003F0D51">
        <w:rPr>
          <w:rFonts w:ascii="Times New Roman" w:eastAsia="Times New Roman" w:hAnsi="Times New Roman" w:cs="Times New Roman"/>
          <w:b/>
          <w:bCs/>
          <w:color w:val="000000"/>
          <w:kern w:val="0"/>
          <w14:ligatures w14:val="none"/>
        </w:rPr>
        <w:t>Número do capítulo:</w:t>
      </w:r>
      <w:r w:rsidRPr="003F0D51">
        <w:rPr>
          <w:rFonts w:ascii="Times New Roman" w:eastAsia="Times New Roman" w:hAnsi="Times New Roman" w:cs="Times New Roman"/>
          <w:color w:val="000000"/>
          <w:kern w:val="0"/>
          <w14:ligatures w14:val="none"/>
        </w:rPr>
        <w:t> 28</w:t>
      </w:r>
      <w:r w:rsidRPr="003F0D51">
        <w:rPr>
          <w:rFonts w:ascii="Times New Roman" w:eastAsia="Times New Roman" w:hAnsi="Times New Roman" w:cs="Times New Roman"/>
          <w:color w:val="000000"/>
          <w:kern w:val="0"/>
          <w14:ligatures w14:val="none"/>
        </w:rPr>
        <w:br/>
      </w:r>
      <w:r w:rsidRPr="003F0D51">
        <w:rPr>
          <w:rFonts w:ascii="Times New Roman" w:eastAsia="Times New Roman" w:hAnsi="Times New Roman" w:cs="Times New Roman"/>
          <w:b/>
          <w:bCs/>
          <w:color w:val="000000"/>
          <w:kern w:val="0"/>
          <w14:ligatures w14:val="none"/>
        </w:rPr>
        <w:t>Título completo:</w:t>
      </w:r>
      <w:r w:rsidRPr="003F0D51">
        <w:rPr>
          <w:rFonts w:ascii="Times New Roman" w:eastAsia="Times New Roman" w:hAnsi="Times New Roman" w:cs="Times New Roman"/>
          <w:color w:val="000000"/>
          <w:kern w:val="0"/>
          <w14:ligatures w14:val="none"/>
        </w:rPr>
        <w:t> Escoliose de Início Precoce</w:t>
      </w:r>
      <w:r w:rsidRPr="003F0D51">
        <w:rPr>
          <w:rFonts w:ascii="Times New Roman" w:eastAsia="Times New Roman" w:hAnsi="Times New Roman" w:cs="Times New Roman"/>
          <w:color w:val="000000"/>
          <w:kern w:val="0"/>
          <w14:ligatures w14:val="none"/>
        </w:rPr>
        <w:br/>
      </w:r>
      <w:r w:rsidRPr="003F0D51">
        <w:rPr>
          <w:rFonts w:ascii="Times New Roman" w:eastAsia="Times New Roman" w:hAnsi="Times New Roman" w:cs="Times New Roman"/>
          <w:b/>
          <w:bCs/>
          <w:color w:val="000000"/>
          <w:kern w:val="0"/>
          <w14:ligatures w14:val="none"/>
        </w:rPr>
        <w:t>Seção do Tratado:</w:t>
      </w:r>
      <w:r w:rsidRPr="003F0D51">
        <w:rPr>
          <w:rFonts w:ascii="Times New Roman" w:eastAsia="Times New Roman" w:hAnsi="Times New Roman" w:cs="Times New Roman"/>
          <w:color w:val="000000"/>
          <w:kern w:val="0"/>
          <w14:ligatures w14:val="none"/>
        </w:rPr>
        <w:t> </w:t>
      </w:r>
      <w:r>
        <w:rPr>
          <w:rFonts w:ascii="Times New Roman" w:eastAsia="Times New Roman" w:hAnsi="Times New Roman" w:cs="Times New Roman"/>
          <w:color w:val="000000"/>
          <w:kern w:val="0"/>
          <w14:ligatures w14:val="none"/>
        </w:rPr>
        <w:t>4</w:t>
      </w:r>
      <w:r w:rsidRPr="003F0D51">
        <w:rPr>
          <w:rFonts w:ascii="Times New Roman" w:eastAsia="Times New Roman" w:hAnsi="Times New Roman" w:cs="Times New Roman"/>
          <w:color w:val="000000"/>
          <w:kern w:val="0"/>
          <w14:ligatures w14:val="none"/>
        </w:rPr>
        <w:t>.</w:t>
      </w:r>
    </w:p>
    <w:p w14:paraId="45952E47" w14:textId="77777777" w:rsidR="003F0D51" w:rsidRPr="003F0D51" w:rsidRDefault="003F0D51" w:rsidP="003F0D51">
      <w:pPr>
        <w:spacing w:before="100" w:beforeAutospacing="1" w:after="100" w:afterAutospacing="1" w:line="240" w:lineRule="auto"/>
        <w:rPr>
          <w:rFonts w:ascii="Times New Roman" w:eastAsia="Times New Roman" w:hAnsi="Times New Roman" w:cs="Times New Roman"/>
          <w:color w:val="000000"/>
          <w:kern w:val="0"/>
          <w14:ligatures w14:val="none"/>
        </w:rPr>
      </w:pPr>
      <w:r w:rsidRPr="003F0D51">
        <w:rPr>
          <w:rFonts w:ascii="Times New Roman" w:eastAsia="Times New Roman" w:hAnsi="Times New Roman" w:cs="Times New Roman"/>
          <w:b/>
          <w:bCs/>
          <w:color w:val="000000"/>
          <w:kern w:val="0"/>
          <w14:ligatures w14:val="none"/>
        </w:rPr>
        <w:t>Autores</w:t>
      </w:r>
    </w:p>
    <w:p w14:paraId="071D3283" w14:textId="77777777" w:rsidR="003F0D51" w:rsidRPr="003F0D51" w:rsidRDefault="003F0D51" w:rsidP="003F0D51">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0D51">
        <w:rPr>
          <w:rFonts w:ascii="Times New Roman" w:eastAsia="Times New Roman" w:hAnsi="Times New Roman" w:cs="Times New Roman"/>
          <w:color w:val="000000"/>
          <w:kern w:val="0"/>
          <w14:ligatures w14:val="none"/>
        </w:rPr>
        <w:t>Alexandre Fogaça Cristante</w:t>
      </w:r>
    </w:p>
    <w:p w14:paraId="06278178" w14:textId="77777777" w:rsidR="003F0D51" w:rsidRPr="003F0D51" w:rsidRDefault="003F0D51" w:rsidP="003F0D51">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0D51">
        <w:rPr>
          <w:rFonts w:ascii="Times New Roman" w:eastAsia="Times New Roman" w:hAnsi="Times New Roman" w:cs="Times New Roman"/>
          <w:color w:val="000000"/>
          <w:kern w:val="0"/>
          <w14:ligatures w14:val="none"/>
        </w:rPr>
        <w:t>Santiago Alexis Naranjo Tipan</w:t>
      </w:r>
    </w:p>
    <w:p w14:paraId="349E7CB6" w14:textId="77777777" w:rsidR="003F0D51" w:rsidRPr="003F0D51" w:rsidRDefault="003F0D51" w:rsidP="003F0D51">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0D51">
        <w:rPr>
          <w:rFonts w:ascii="Times New Roman" w:eastAsia="Times New Roman" w:hAnsi="Times New Roman" w:cs="Times New Roman"/>
          <w:color w:val="000000"/>
          <w:kern w:val="0"/>
          <w14:ligatures w14:val="none"/>
        </w:rPr>
        <w:t>Caio César Nogueira de Figueiredo</w:t>
      </w:r>
    </w:p>
    <w:p w14:paraId="3F231AB9" w14:textId="77777777" w:rsidR="003F0D51" w:rsidRPr="003F0D51" w:rsidRDefault="003F0D51" w:rsidP="003F0D51">
      <w:pPr>
        <w:spacing w:before="100" w:beforeAutospacing="1" w:after="100" w:afterAutospacing="1" w:line="240" w:lineRule="auto"/>
        <w:rPr>
          <w:rFonts w:ascii="Times New Roman" w:eastAsia="Times New Roman" w:hAnsi="Times New Roman" w:cs="Times New Roman"/>
          <w:color w:val="000000"/>
          <w:kern w:val="0"/>
          <w14:ligatures w14:val="none"/>
        </w:rPr>
      </w:pPr>
      <w:r w:rsidRPr="003F0D51">
        <w:rPr>
          <w:rFonts w:ascii="Times New Roman" w:eastAsia="Times New Roman" w:hAnsi="Times New Roman" w:cs="Times New Roman"/>
          <w:color w:val="000000"/>
          <w:kern w:val="0"/>
          <w14:ligatures w14:val="none"/>
        </w:rPr>
        <w:t>O capítulo aborda a escoliose de início precoce desde sua definição e história natural até a avaliação diagnóstica, classificação, estratégias de preservação do crescimento e indicações de tratamento definitivo.</w:t>
      </w:r>
    </w:p>
    <w:p w14:paraId="40C5056C" w14:textId="77777777" w:rsidR="003F0D51" w:rsidRPr="003F0D51" w:rsidRDefault="003F0D51" w:rsidP="003F0D51">
      <w:pPr>
        <w:spacing w:before="100" w:beforeAutospacing="1" w:after="100" w:afterAutospacing="1" w:line="240" w:lineRule="auto"/>
        <w:rPr>
          <w:rFonts w:ascii="Times New Roman" w:eastAsia="Times New Roman" w:hAnsi="Times New Roman" w:cs="Times New Roman"/>
          <w:color w:val="000000"/>
          <w:kern w:val="0"/>
          <w14:ligatures w14:val="none"/>
        </w:rPr>
      </w:pPr>
      <w:r w:rsidRPr="003F0D51">
        <w:rPr>
          <w:rFonts w:ascii="Times New Roman" w:eastAsia="Times New Roman" w:hAnsi="Times New Roman" w:cs="Times New Roman"/>
          <w:b/>
          <w:bCs/>
          <w:color w:val="000000"/>
          <w:kern w:val="0"/>
          <w14:ligatures w14:val="none"/>
        </w:rPr>
        <w:t>Nota editorial para o site</w:t>
      </w:r>
      <w:r w:rsidRPr="003F0D51">
        <w:rPr>
          <w:rFonts w:ascii="Times New Roman" w:eastAsia="Times New Roman" w:hAnsi="Times New Roman" w:cs="Times New Roman"/>
          <w:color w:val="000000"/>
          <w:kern w:val="0"/>
          <w14:ligatures w14:val="none"/>
        </w:rPr>
        <w:br/>
        <w:t>Esta página apresenta os conceitos fundamentais do capítulo. Critérios quantitativos das classificações, parâmetros radiográficos de progressão e detalhes técnicos das diferentes estratégias cirúrgicas permanecem reservados ao conteúdo integral do </w:t>
      </w:r>
      <w:r w:rsidRPr="003F0D51">
        <w:rPr>
          <w:rFonts w:ascii="Times New Roman" w:eastAsia="Times New Roman" w:hAnsi="Times New Roman" w:cs="Times New Roman"/>
          <w:i/>
          <w:iCs/>
          <w:color w:val="000000"/>
          <w:kern w:val="0"/>
          <w14:ligatures w14:val="none"/>
        </w:rPr>
        <w:t>Tratado de Cirurgia da Coluna</w:t>
      </w:r>
      <w:r w:rsidRPr="003F0D51">
        <w:rPr>
          <w:rFonts w:ascii="Times New Roman" w:eastAsia="Times New Roman" w:hAnsi="Times New Roman" w:cs="Times New Roman"/>
          <w:color w:val="000000"/>
          <w:kern w:val="0"/>
          <w14:ligatures w14:val="none"/>
        </w:rPr>
        <w:t>.</w:t>
      </w:r>
    </w:p>
    <w:p w14:paraId="616DCE62" w14:textId="77777777" w:rsidR="003F0D51" w:rsidRPr="003F0D51" w:rsidRDefault="007369A9" w:rsidP="003F0D51">
      <w:pPr>
        <w:spacing w:after="0" w:line="240" w:lineRule="auto"/>
        <w:rPr>
          <w:rFonts w:ascii="Times New Roman" w:eastAsia="Times New Roman" w:hAnsi="Times New Roman" w:cs="Times New Roman"/>
          <w:kern w:val="0"/>
          <w14:ligatures w14:val="none"/>
        </w:rPr>
      </w:pPr>
      <w:r w:rsidRPr="007369A9">
        <w:rPr>
          <w:rFonts w:ascii="Times New Roman" w:eastAsia="Times New Roman" w:hAnsi="Times New Roman" w:cs="Times New Roman"/>
          <w:noProof/>
          <w:kern w:val="0"/>
        </w:rPr>
        <w:pict w14:anchorId="0D4F0F71">
          <v:rect id="_x0000_i1036" alt="" style="width:468pt;height:.05pt;mso-width-percent:0;mso-height-percent:0;mso-width-percent:0;mso-height-percent:0" o:hralign="center" o:hrstd="t" o:hr="t" fillcolor="#a0a0a0" stroked="f"/>
        </w:pict>
      </w:r>
    </w:p>
    <w:p w14:paraId="4C9370C0" w14:textId="77777777" w:rsidR="003F0D51" w:rsidRPr="003F0D51" w:rsidRDefault="003F0D51" w:rsidP="003F0D5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F0D51">
        <w:rPr>
          <w:rFonts w:ascii="Times New Roman" w:eastAsia="Times New Roman" w:hAnsi="Times New Roman" w:cs="Times New Roman"/>
          <w:b/>
          <w:bCs/>
          <w:color w:val="000000"/>
          <w:kern w:val="0"/>
          <w:sz w:val="36"/>
          <w:szCs w:val="36"/>
          <w14:ligatures w14:val="none"/>
        </w:rPr>
        <w:t>Contexto</w:t>
      </w:r>
    </w:p>
    <w:p w14:paraId="4F5945D9" w14:textId="77777777" w:rsidR="003F0D51" w:rsidRPr="003F0D51" w:rsidRDefault="003F0D51" w:rsidP="003F0D51">
      <w:pPr>
        <w:spacing w:before="100" w:beforeAutospacing="1" w:after="100" w:afterAutospacing="1" w:line="240" w:lineRule="auto"/>
        <w:rPr>
          <w:rFonts w:ascii="Times New Roman" w:eastAsia="Times New Roman" w:hAnsi="Times New Roman" w:cs="Times New Roman"/>
          <w:color w:val="000000"/>
          <w:kern w:val="0"/>
          <w14:ligatures w14:val="none"/>
        </w:rPr>
      </w:pPr>
      <w:r w:rsidRPr="003F0D51">
        <w:rPr>
          <w:rFonts w:ascii="Times New Roman" w:eastAsia="Times New Roman" w:hAnsi="Times New Roman" w:cs="Times New Roman"/>
          <w:color w:val="000000"/>
          <w:kern w:val="0"/>
          <w14:ligatures w14:val="none"/>
        </w:rPr>
        <w:t>A escoliose de início precoce (EIP) compreende as deformidades escolióticas identificadas antes dos 10 anos de idade, independentemente da etiologia. Sua importância ultrapassa a deformidade da coluna: nessa fase, crescimento vertebral, expansão da caixa torácica e desenvolvimento pulmonar ocorrem simultaneamente, tornando a preservação do potencial de crescimento parte central do tratamento. A EIP constitui um grupo heterogêneo, que inclui formas idiopáticas, congênitas, neuromusculares e sindrômicas, cada uma com história natural e necessidades terapêuticas distintas. Curvas progressivas podem comprometer alinhamento, equilíbrio do tronco e desenvolvimento torácico, enquanto intervenções definitivas realizadas precocemente também podem limitar o crescimento. Assim, o desafio clínico é controlar a deformidade sem interromper desnecessariamente o desenvolvimento da coluna e do tórax. Diagnóstico etiológico, velocidade de progressão, flexibilidade, condição neurológica, crescimento remanescente e repercussões respiratórias precisam ser avaliados conjuntamente para definir a estratégia.</w:t>
      </w:r>
    </w:p>
    <w:p w14:paraId="2ED97657" w14:textId="77777777" w:rsidR="003F0D51" w:rsidRPr="003F0D51" w:rsidRDefault="007369A9" w:rsidP="003F0D51">
      <w:pPr>
        <w:spacing w:after="0" w:line="240" w:lineRule="auto"/>
        <w:rPr>
          <w:rFonts w:ascii="Times New Roman" w:eastAsia="Times New Roman" w:hAnsi="Times New Roman" w:cs="Times New Roman"/>
          <w:kern w:val="0"/>
          <w14:ligatures w14:val="none"/>
        </w:rPr>
      </w:pPr>
      <w:r w:rsidRPr="007369A9">
        <w:rPr>
          <w:rFonts w:ascii="Times New Roman" w:eastAsia="Times New Roman" w:hAnsi="Times New Roman" w:cs="Times New Roman"/>
          <w:noProof/>
          <w:kern w:val="0"/>
        </w:rPr>
        <w:pict w14:anchorId="7E46EA45">
          <v:rect id="_x0000_i1035" style="width:0;height:1.5pt" o:hralign="center" o:hrstd="t" o:hr="t" fillcolor="#a0a0a0" stroked="f"/>
        </w:pict>
      </w:r>
    </w:p>
    <w:p w14:paraId="679DBFA5" w14:textId="77777777" w:rsidR="003F0D51" w:rsidRPr="003F0D51" w:rsidRDefault="003F0D51" w:rsidP="003F0D5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F0D51">
        <w:rPr>
          <w:rFonts w:ascii="Times New Roman" w:eastAsia="Times New Roman" w:hAnsi="Times New Roman" w:cs="Times New Roman"/>
          <w:b/>
          <w:bCs/>
          <w:color w:val="000000"/>
          <w:kern w:val="0"/>
          <w:sz w:val="36"/>
          <w:szCs w:val="36"/>
          <w14:ligatures w14:val="none"/>
        </w:rPr>
        <w:t>Objetivo do capítulo</w:t>
      </w:r>
    </w:p>
    <w:p w14:paraId="29CE0731" w14:textId="77777777" w:rsidR="003F0D51" w:rsidRPr="003F0D51" w:rsidRDefault="003F0D51" w:rsidP="003F0D51">
      <w:pPr>
        <w:spacing w:before="100" w:beforeAutospacing="1" w:after="100" w:afterAutospacing="1" w:line="240" w:lineRule="auto"/>
        <w:rPr>
          <w:rFonts w:ascii="Times New Roman" w:eastAsia="Times New Roman" w:hAnsi="Times New Roman" w:cs="Times New Roman"/>
          <w:color w:val="000000"/>
          <w:kern w:val="0"/>
          <w14:ligatures w14:val="none"/>
        </w:rPr>
      </w:pPr>
      <w:r w:rsidRPr="003F0D51">
        <w:rPr>
          <w:rFonts w:ascii="Times New Roman" w:eastAsia="Times New Roman" w:hAnsi="Times New Roman" w:cs="Times New Roman"/>
          <w:color w:val="000000"/>
          <w:kern w:val="0"/>
          <w14:ligatures w14:val="none"/>
        </w:rPr>
        <w:lastRenderedPageBreak/>
        <w:t>Apresentar os fundamentos para reconhecer e tratar a escoliose de início precoce. O leitor deverá compreender sua relação com o crescimento vertebral e pulmonar, diferenciar as principais etiologias, realizar avaliação clínica e por imagem, utilizar a classificação C-EOS, reconhecer fatores relacionados à progressão e compreender as indicações, limitações e complicações do tratamento conservador, das técnicas que preservam crescimento e da artrodese definitiva.</w:t>
      </w:r>
    </w:p>
    <w:p w14:paraId="5FF6AC01" w14:textId="77777777" w:rsidR="003F0D51" w:rsidRPr="003F0D51" w:rsidRDefault="007369A9" w:rsidP="003F0D51">
      <w:pPr>
        <w:spacing w:after="0" w:line="240" w:lineRule="auto"/>
        <w:rPr>
          <w:rFonts w:ascii="Times New Roman" w:eastAsia="Times New Roman" w:hAnsi="Times New Roman" w:cs="Times New Roman"/>
          <w:kern w:val="0"/>
          <w14:ligatures w14:val="none"/>
        </w:rPr>
      </w:pPr>
      <w:r w:rsidRPr="007369A9">
        <w:rPr>
          <w:rFonts w:ascii="Times New Roman" w:eastAsia="Times New Roman" w:hAnsi="Times New Roman" w:cs="Times New Roman"/>
          <w:noProof/>
          <w:kern w:val="0"/>
        </w:rPr>
        <w:pict w14:anchorId="353F3821">
          <v:rect id="_x0000_i1034" style="width:0;height:1.5pt" o:hralign="center" o:hrstd="t" o:hr="t" fillcolor="#a0a0a0" stroked="f"/>
        </w:pict>
      </w:r>
    </w:p>
    <w:p w14:paraId="15318DF7" w14:textId="77777777" w:rsidR="003F0D51" w:rsidRPr="003F0D51" w:rsidRDefault="003F0D51" w:rsidP="003F0D51">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3F0D51">
        <w:rPr>
          <w:rFonts w:ascii="Times New Roman" w:eastAsia="Times New Roman" w:hAnsi="Times New Roman" w:cs="Times New Roman"/>
          <w:b/>
          <w:bCs/>
          <w:color w:val="000000"/>
          <w:kern w:val="36"/>
          <w:sz w:val="48"/>
          <w:szCs w:val="48"/>
          <w14:ligatures w14:val="none"/>
        </w:rPr>
        <w:t>Conteúdo principal</w:t>
      </w:r>
    </w:p>
    <w:p w14:paraId="291FE9EA" w14:textId="77777777" w:rsidR="003F0D51" w:rsidRPr="003F0D51" w:rsidRDefault="003F0D51" w:rsidP="003F0D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3F0D51">
        <w:rPr>
          <w:rFonts w:ascii="Times New Roman" w:eastAsia="Times New Roman" w:hAnsi="Times New Roman" w:cs="Times New Roman"/>
          <w:b/>
          <w:bCs/>
          <w:color w:val="000000"/>
          <w:kern w:val="0"/>
          <w:sz w:val="27"/>
          <w:szCs w:val="27"/>
          <w14:ligatures w14:val="none"/>
        </w:rPr>
        <w:t>Crescimento da coluna e desenvolvimento torácico</w:t>
      </w:r>
    </w:p>
    <w:p w14:paraId="485D7DCA" w14:textId="77777777" w:rsidR="003F0D51" w:rsidRPr="003F0D51" w:rsidRDefault="003F0D51" w:rsidP="003F0D51">
      <w:pPr>
        <w:spacing w:before="100" w:beforeAutospacing="1" w:after="100" w:afterAutospacing="1" w:line="240" w:lineRule="auto"/>
        <w:rPr>
          <w:rFonts w:ascii="Times New Roman" w:eastAsia="Times New Roman" w:hAnsi="Times New Roman" w:cs="Times New Roman"/>
          <w:color w:val="000000"/>
          <w:kern w:val="0"/>
          <w14:ligatures w14:val="none"/>
        </w:rPr>
      </w:pPr>
      <w:r w:rsidRPr="003F0D51">
        <w:rPr>
          <w:rFonts w:ascii="Times New Roman" w:eastAsia="Times New Roman" w:hAnsi="Times New Roman" w:cs="Times New Roman"/>
          <w:color w:val="000000"/>
          <w:kern w:val="0"/>
          <w14:ligatures w14:val="none"/>
        </w:rPr>
        <w:t>A EIP ocorre durante um período em que coluna, caixa torácica e pulmões ainda estão em desenvolvimento. O capítulo destaca a sincronização entre o crescimento vertebral precoce e a expansão pulmonar. Por isso, tanto a progressão da deformidade quanto uma artrodese extensa realizada precocemente podem interferir no desenvolvimento torácico. A síndrome da insuficiência torácica representa a expressão clínica mais grave dessa interação, quando o tórax não consegue sustentar adequadamente a respiração ou o crescimento pulmonar.</w:t>
      </w:r>
    </w:p>
    <w:p w14:paraId="45AF88AC" w14:textId="77777777" w:rsidR="003F0D51" w:rsidRPr="003F0D51" w:rsidRDefault="003F0D51" w:rsidP="003F0D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3F0D51">
        <w:rPr>
          <w:rFonts w:ascii="Times New Roman" w:eastAsia="Times New Roman" w:hAnsi="Times New Roman" w:cs="Times New Roman"/>
          <w:b/>
          <w:bCs/>
          <w:color w:val="000000"/>
          <w:kern w:val="0"/>
          <w:sz w:val="27"/>
          <w:szCs w:val="27"/>
          <w14:ligatures w14:val="none"/>
        </w:rPr>
        <w:t>Etiologia determina comportamento</w:t>
      </w:r>
    </w:p>
    <w:p w14:paraId="7A1B039A" w14:textId="77777777" w:rsidR="003F0D51" w:rsidRPr="003F0D51" w:rsidRDefault="003F0D51" w:rsidP="003F0D51">
      <w:pPr>
        <w:spacing w:before="100" w:beforeAutospacing="1" w:after="100" w:afterAutospacing="1" w:line="240" w:lineRule="auto"/>
        <w:rPr>
          <w:rFonts w:ascii="Times New Roman" w:eastAsia="Times New Roman" w:hAnsi="Times New Roman" w:cs="Times New Roman"/>
          <w:color w:val="000000"/>
          <w:kern w:val="0"/>
          <w14:ligatures w14:val="none"/>
        </w:rPr>
      </w:pPr>
      <w:r w:rsidRPr="003F0D51">
        <w:rPr>
          <w:rFonts w:ascii="Times New Roman" w:eastAsia="Times New Roman" w:hAnsi="Times New Roman" w:cs="Times New Roman"/>
          <w:color w:val="000000"/>
          <w:kern w:val="0"/>
          <w14:ligatures w14:val="none"/>
        </w:rPr>
        <w:t>A forma </w:t>
      </w:r>
      <w:r w:rsidRPr="003F0D51">
        <w:rPr>
          <w:rFonts w:ascii="Times New Roman" w:eastAsia="Times New Roman" w:hAnsi="Times New Roman" w:cs="Times New Roman"/>
          <w:b/>
          <w:bCs/>
          <w:color w:val="000000"/>
          <w:kern w:val="0"/>
          <w14:ligatures w14:val="none"/>
        </w:rPr>
        <w:t>idiopática</w:t>
      </w:r>
      <w:r w:rsidRPr="003F0D51">
        <w:rPr>
          <w:rFonts w:ascii="Times New Roman" w:eastAsia="Times New Roman" w:hAnsi="Times New Roman" w:cs="Times New Roman"/>
          <w:color w:val="000000"/>
          <w:kern w:val="0"/>
          <w14:ligatures w14:val="none"/>
        </w:rPr>
        <w:t> pode apresentar evolução variável, inclusive resolução espontânea em determinados pacientes muito jovens. A </w:t>
      </w:r>
      <w:r w:rsidRPr="003F0D51">
        <w:rPr>
          <w:rFonts w:ascii="Times New Roman" w:eastAsia="Times New Roman" w:hAnsi="Times New Roman" w:cs="Times New Roman"/>
          <w:b/>
          <w:bCs/>
          <w:color w:val="000000"/>
          <w:kern w:val="0"/>
          <w14:ligatures w14:val="none"/>
        </w:rPr>
        <w:t>congênita</w:t>
      </w:r>
      <w:r w:rsidRPr="003F0D51">
        <w:rPr>
          <w:rFonts w:ascii="Times New Roman" w:eastAsia="Times New Roman" w:hAnsi="Times New Roman" w:cs="Times New Roman"/>
          <w:color w:val="000000"/>
          <w:kern w:val="0"/>
          <w14:ligatures w14:val="none"/>
        </w:rPr>
        <w:t> decorre de alterações de formação ou segmentação vertebral e pode associar-se a outras malformações, incluindo aquelas reunidas no espectro VACTERL. A </w:t>
      </w:r>
      <w:r w:rsidRPr="003F0D51">
        <w:rPr>
          <w:rFonts w:ascii="Times New Roman" w:eastAsia="Times New Roman" w:hAnsi="Times New Roman" w:cs="Times New Roman"/>
          <w:b/>
          <w:bCs/>
          <w:color w:val="000000"/>
          <w:kern w:val="0"/>
          <w14:ligatures w14:val="none"/>
        </w:rPr>
        <w:t>neuromuscular</w:t>
      </w:r>
      <w:r w:rsidRPr="003F0D51">
        <w:rPr>
          <w:rFonts w:ascii="Times New Roman" w:eastAsia="Times New Roman" w:hAnsi="Times New Roman" w:cs="Times New Roman"/>
          <w:color w:val="000000"/>
          <w:kern w:val="0"/>
          <w14:ligatures w14:val="none"/>
        </w:rPr>
        <w:t> tende a apresentar curvas longas, frequentemente acompanhadas de obliquidade pélvica e importante repercussão funcional. A forma </w:t>
      </w:r>
      <w:r w:rsidRPr="003F0D51">
        <w:rPr>
          <w:rFonts w:ascii="Times New Roman" w:eastAsia="Times New Roman" w:hAnsi="Times New Roman" w:cs="Times New Roman"/>
          <w:b/>
          <w:bCs/>
          <w:color w:val="000000"/>
          <w:kern w:val="0"/>
          <w14:ligatures w14:val="none"/>
        </w:rPr>
        <w:t>sindrômica</w:t>
      </w:r>
      <w:r w:rsidRPr="003F0D51">
        <w:rPr>
          <w:rFonts w:ascii="Times New Roman" w:eastAsia="Times New Roman" w:hAnsi="Times New Roman" w:cs="Times New Roman"/>
          <w:color w:val="000000"/>
          <w:kern w:val="0"/>
          <w14:ligatures w14:val="none"/>
        </w:rPr>
        <w:t> reúne condições geneticamente ou sistemicamente determinadas, com comportamento dependente da doença de base.</w:t>
      </w:r>
    </w:p>
    <w:p w14:paraId="796611F8" w14:textId="77777777" w:rsidR="003F0D51" w:rsidRPr="003F0D51" w:rsidRDefault="003F0D51" w:rsidP="003F0D51">
      <w:pPr>
        <w:spacing w:before="100" w:beforeAutospacing="1" w:after="100" w:afterAutospacing="1" w:line="240" w:lineRule="auto"/>
        <w:rPr>
          <w:rFonts w:ascii="Times New Roman" w:eastAsia="Times New Roman" w:hAnsi="Times New Roman" w:cs="Times New Roman"/>
          <w:color w:val="000000"/>
          <w:kern w:val="0"/>
          <w14:ligatures w14:val="none"/>
        </w:rPr>
      </w:pPr>
      <w:r w:rsidRPr="003F0D51">
        <w:rPr>
          <w:rFonts w:ascii="Times New Roman" w:eastAsia="Times New Roman" w:hAnsi="Times New Roman" w:cs="Times New Roman"/>
          <w:color w:val="000000"/>
          <w:kern w:val="0"/>
          <w14:ligatures w14:val="none"/>
        </w:rPr>
        <w:t>Essa diferenciação etiológica é relevante porque uma mesma magnitude de curva pode apresentar riscos de progressão e respostas ao tratamento muito diferentes.</w:t>
      </w:r>
    </w:p>
    <w:p w14:paraId="5BCC4E01" w14:textId="77777777" w:rsidR="003F0D51" w:rsidRPr="003F0D51" w:rsidRDefault="003F0D51" w:rsidP="003F0D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3F0D51">
        <w:rPr>
          <w:rFonts w:ascii="Times New Roman" w:eastAsia="Times New Roman" w:hAnsi="Times New Roman" w:cs="Times New Roman"/>
          <w:b/>
          <w:bCs/>
          <w:color w:val="000000"/>
          <w:kern w:val="0"/>
          <w:sz w:val="27"/>
          <w:szCs w:val="27"/>
          <w14:ligatures w14:val="none"/>
        </w:rPr>
        <w:t>Avaliação clínica, classificação e imagem</w:t>
      </w:r>
    </w:p>
    <w:p w14:paraId="47D96064" w14:textId="77777777" w:rsidR="003F0D51" w:rsidRPr="003F0D51" w:rsidRDefault="003F0D51" w:rsidP="003F0D51">
      <w:pPr>
        <w:spacing w:before="100" w:beforeAutospacing="1" w:after="100" w:afterAutospacing="1" w:line="240" w:lineRule="auto"/>
        <w:rPr>
          <w:rFonts w:ascii="Times New Roman" w:eastAsia="Times New Roman" w:hAnsi="Times New Roman" w:cs="Times New Roman"/>
          <w:color w:val="000000"/>
          <w:kern w:val="0"/>
          <w14:ligatures w14:val="none"/>
        </w:rPr>
      </w:pPr>
      <w:r w:rsidRPr="003F0D51">
        <w:rPr>
          <w:rFonts w:ascii="Times New Roman" w:eastAsia="Times New Roman" w:hAnsi="Times New Roman" w:cs="Times New Roman"/>
          <w:color w:val="000000"/>
          <w:kern w:val="0"/>
          <w14:ligatures w14:val="none"/>
        </w:rPr>
        <w:t>A avaliação inclui inspeção global do tronco, alinhamento dos ombros e da pelve, perfil sagital, teste de Adams, flexibilidade, marcha e exame neurológico completo. História gestacional, momento de aparecimento da curva, velocidade de progressão, dor e alterações neurológicas também contribuem para definir a etiologia.</w:t>
      </w:r>
    </w:p>
    <w:p w14:paraId="7953C8F9" w14:textId="77777777" w:rsidR="003F0D51" w:rsidRPr="003F0D51" w:rsidRDefault="003F0D51" w:rsidP="003F0D51">
      <w:pPr>
        <w:spacing w:before="100" w:beforeAutospacing="1" w:after="100" w:afterAutospacing="1" w:line="240" w:lineRule="auto"/>
        <w:rPr>
          <w:rFonts w:ascii="Times New Roman" w:eastAsia="Times New Roman" w:hAnsi="Times New Roman" w:cs="Times New Roman"/>
          <w:color w:val="000000"/>
          <w:kern w:val="0"/>
          <w14:ligatures w14:val="none"/>
        </w:rPr>
      </w:pPr>
      <w:r w:rsidRPr="003F0D51">
        <w:rPr>
          <w:rFonts w:ascii="Times New Roman" w:eastAsia="Times New Roman" w:hAnsi="Times New Roman" w:cs="Times New Roman"/>
          <w:color w:val="000000"/>
          <w:kern w:val="0"/>
          <w14:ligatures w14:val="none"/>
        </w:rPr>
        <w:t>O sistema </w:t>
      </w:r>
      <w:r w:rsidRPr="003F0D51">
        <w:rPr>
          <w:rFonts w:ascii="Times New Roman" w:eastAsia="Times New Roman" w:hAnsi="Times New Roman" w:cs="Times New Roman"/>
          <w:b/>
          <w:bCs/>
          <w:color w:val="000000"/>
          <w:kern w:val="0"/>
          <w14:ligatures w14:val="none"/>
        </w:rPr>
        <w:t>C-EOS</w:t>
      </w:r>
      <w:r w:rsidRPr="003F0D51">
        <w:rPr>
          <w:rFonts w:ascii="Times New Roman" w:eastAsia="Times New Roman" w:hAnsi="Times New Roman" w:cs="Times New Roman"/>
          <w:color w:val="000000"/>
          <w:kern w:val="0"/>
          <w14:ligatures w14:val="none"/>
        </w:rPr>
        <w:t> organiza a EIP considerando idade, etiologia, magnitude da curva, cifose e, opcionalmente, sua velocidade de progressão. Seu papel é padronizar a descrição de uma população muito heterogênea, e não funcionar isoladamente como algoritmo terapêutico.</w:t>
      </w:r>
    </w:p>
    <w:p w14:paraId="1E51E0D6" w14:textId="77777777" w:rsidR="003F0D51" w:rsidRPr="003F0D51" w:rsidRDefault="003F0D51" w:rsidP="003F0D51">
      <w:pPr>
        <w:spacing w:before="100" w:beforeAutospacing="1" w:after="100" w:afterAutospacing="1" w:line="240" w:lineRule="auto"/>
        <w:rPr>
          <w:rFonts w:ascii="Times New Roman" w:eastAsia="Times New Roman" w:hAnsi="Times New Roman" w:cs="Times New Roman"/>
          <w:color w:val="000000"/>
          <w:kern w:val="0"/>
          <w14:ligatures w14:val="none"/>
        </w:rPr>
      </w:pPr>
      <w:r w:rsidRPr="003F0D51">
        <w:rPr>
          <w:rFonts w:ascii="Times New Roman" w:eastAsia="Times New Roman" w:hAnsi="Times New Roman" w:cs="Times New Roman"/>
          <w:color w:val="000000"/>
          <w:kern w:val="0"/>
          <w14:ligatures w14:val="none"/>
        </w:rPr>
        <w:t xml:space="preserve">Radiografias da coluna total constituem a base do acompanhamento. Cobb, ângulo de Mehta e relação costovertebral são apresentados como instrumentos para caracterizar e acompanhar a </w:t>
      </w:r>
      <w:r w:rsidRPr="003F0D51">
        <w:rPr>
          <w:rFonts w:ascii="Times New Roman" w:eastAsia="Times New Roman" w:hAnsi="Times New Roman" w:cs="Times New Roman"/>
          <w:color w:val="000000"/>
          <w:kern w:val="0"/>
          <w14:ligatures w14:val="none"/>
        </w:rPr>
        <w:lastRenderedPageBreak/>
        <w:t>deformidade; a </w:t>
      </w:r>
      <w:r w:rsidRPr="003F0D51">
        <w:rPr>
          <w:rFonts w:ascii="Times New Roman" w:eastAsia="Times New Roman" w:hAnsi="Times New Roman" w:cs="Times New Roman"/>
          <w:b/>
          <w:bCs/>
          <w:color w:val="000000"/>
          <w:kern w:val="0"/>
          <w14:ligatures w14:val="none"/>
        </w:rPr>
        <w:t>Figura 1</w:t>
      </w:r>
      <w:r w:rsidRPr="003F0D51">
        <w:rPr>
          <w:rFonts w:ascii="Times New Roman" w:eastAsia="Times New Roman" w:hAnsi="Times New Roman" w:cs="Times New Roman"/>
          <w:color w:val="000000"/>
          <w:kern w:val="0"/>
          <w14:ligatures w14:val="none"/>
        </w:rPr>
        <w:t> ilustra esses conceitos. A tomografia computadorizada pode acrescentar informação anatômica para planejamento, enquanto a ressonância magnética é particularmente relevante em curvas atípicas, dolorosas, rapidamente progressivas, associadas a alterações neurológicas ou quando se busca investigar o neuroeixo.</w:t>
      </w:r>
    </w:p>
    <w:p w14:paraId="462B2644" w14:textId="77777777" w:rsidR="003F0D51" w:rsidRPr="003F0D51" w:rsidRDefault="003F0D51" w:rsidP="003F0D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3F0D51">
        <w:rPr>
          <w:rFonts w:ascii="Times New Roman" w:eastAsia="Times New Roman" w:hAnsi="Times New Roman" w:cs="Times New Roman"/>
          <w:b/>
          <w:bCs/>
          <w:color w:val="000000"/>
          <w:kern w:val="0"/>
          <w:sz w:val="27"/>
          <w:szCs w:val="27"/>
          <w14:ligatures w14:val="none"/>
        </w:rPr>
        <w:t>Tratamento orientado ao crescimento</w:t>
      </w:r>
    </w:p>
    <w:p w14:paraId="0067E536" w14:textId="77777777" w:rsidR="003F0D51" w:rsidRPr="003F0D51" w:rsidRDefault="003F0D51" w:rsidP="003F0D51">
      <w:pPr>
        <w:spacing w:before="100" w:beforeAutospacing="1" w:after="100" w:afterAutospacing="1" w:line="240" w:lineRule="auto"/>
        <w:rPr>
          <w:rFonts w:ascii="Times New Roman" w:eastAsia="Times New Roman" w:hAnsi="Times New Roman" w:cs="Times New Roman"/>
          <w:color w:val="000000"/>
          <w:kern w:val="0"/>
          <w14:ligatures w14:val="none"/>
        </w:rPr>
      </w:pPr>
      <w:r w:rsidRPr="003F0D51">
        <w:rPr>
          <w:rFonts w:ascii="Times New Roman" w:eastAsia="Times New Roman" w:hAnsi="Times New Roman" w:cs="Times New Roman"/>
          <w:color w:val="000000"/>
          <w:kern w:val="0"/>
          <w14:ligatures w14:val="none"/>
        </w:rPr>
        <w:t>O princípio geral é controlar a deformidade preservando, sempre que possível, o crescimento da coluna e do tórax. Imobilizações gessadas seriadas podem postergar ou evitar cirurgia em determinados pacientes. O papel das órteses é mais limitado, sendo também utilizadas para manutenção da correção obtida por outros métodos.</w:t>
      </w:r>
    </w:p>
    <w:p w14:paraId="2CD0E850" w14:textId="77777777" w:rsidR="003F0D51" w:rsidRPr="003F0D51" w:rsidRDefault="003F0D51" w:rsidP="003F0D51">
      <w:pPr>
        <w:spacing w:before="100" w:beforeAutospacing="1" w:after="100" w:afterAutospacing="1" w:line="240" w:lineRule="auto"/>
        <w:rPr>
          <w:rFonts w:ascii="Times New Roman" w:eastAsia="Times New Roman" w:hAnsi="Times New Roman" w:cs="Times New Roman"/>
          <w:color w:val="000000"/>
          <w:kern w:val="0"/>
          <w14:ligatures w14:val="none"/>
        </w:rPr>
      </w:pPr>
      <w:r w:rsidRPr="003F0D51">
        <w:rPr>
          <w:rFonts w:ascii="Times New Roman" w:eastAsia="Times New Roman" w:hAnsi="Times New Roman" w:cs="Times New Roman"/>
          <w:color w:val="000000"/>
          <w:kern w:val="0"/>
          <w14:ligatures w14:val="none"/>
        </w:rPr>
        <w:t>Quando a deformidade progride apesar do tratamento conservador, o capítulo apresenta diferentes estratégias </w:t>
      </w:r>
      <w:r w:rsidRPr="003F0D51">
        <w:rPr>
          <w:rFonts w:ascii="Times New Roman" w:eastAsia="Times New Roman" w:hAnsi="Times New Roman" w:cs="Times New Roman"/>
          <w:b/>
          <w:bCs/>
          <w:color w:val="000000"/>
          <w:kern w:val="0"/>
          <w14:ligatures w14:val="none"/>
        </w:rPr>
        <w:t>growth-friendly</w:t>
      </w:r>
      <w:r w:rsidRPr="003F0D51">
        <w:rPr>
          <w:rFonts w:ascii="Times New Roman" w:eastAsia="Times New Roman" w:hAnsi="Times New Roman" w:cs="Times New Roman"/>
          <w:color w:val="000000"/>
          <w:kern w:val="0"/>
          <w14:ligatures w14:val="none"/>
        </w:rPr>
        <w:t>, entre elas hastes de crescimento tradicionais, hastes controladas magneticamente, VEPTR e técnica de Shilla. Esses métodos procuram equilibrar controle da curva e crescimento, mas apresentam complicações próprias, como falhas de ancoragem, quebra de implantes, infecção, autofusão e necessidade de novas intervenções.</w:t>
      </w:r>
    </w:p>
    <w:p w14:paraId="656D1888" w14:textId="77777777" w:rsidR="003F0D51" w:rsidRPr="003F0D51" w:rsidRDefault="003F0D51" w:rsidP="003F0D51">
      <w:pPr>
        <w:spacing w:before="100" w:beforeAutospacing="1" w:after="100" w:afterAutospacing="1" w:line="240" w:lineRule="auto"/>
        <w:rPr>
          <w:rFonts w:ascii="Times New Roman" w:eastAsia="Times New Roman" w:hAnsi="Times New Roman" w:cs="Times New Roman"/>
          <w:color w:val="000000"/>
          <w:kern w:val="0"/>
          <w14:ligatures w14:val="none"/>
        </w:rPr>
      </w:pPr>
      <w:r w:rsidRPr="003F0D51">
        <w:rPr>
          <w:rFonts w:ascii="Times New Roman" w:eastAsia="Times New Roman" w:hAnsi="Times New Roman" w:cs="Times New Roman"/>
          <w:color w:val="000000"/>
          <w:kern w:val="0"/>
          <w14:ligatures w14:val="none"/>
        </w:rPr>
        <w:t>A artrodese definitiva permanece necessária em situações selecionadas, incluindo deformidades com comportamento desfavorável ou após o término de estratégias de crescimento. Nas malformações congênitas focais, procedimentos definitivos mais limitados também podem ter indicação precoce.</w:t>
      </w:r>
    </w:p>
    <w:p w14:paraId="25530EF8" w14:textId="77777777" w:rsidR="003F0D51" w:rsidRPr="003F0D51" w:rsidRDefault="007369A9" w:rsidP="003F0D51">
      <w:pPr>
        <w:spacing w:after="0" w:line="240" w:lineRule="auto"/>
        <w:rPr>
          <w:rFonts w:ascii="Times New Roman" w:eastAsia="Times New Roman" w:hAnsi="Times New Roman" w:cs="Times New Roman"/>
          <w:kern w:val="0"/>
          <w14:ligatures w14:val="none"/>
        </w:rPr>
      </w:pPr>
      <w:r w:rsidRPr="007369A9">
        <w:rPr>
          <w:rFonts w:ascii="Times New Roman" w:eastAsia="Times New Roman" w:hAnsi="Times New Roman" w:cs="Times New Roman"/>
          <w:noProof/>
          <w:kern w:val="0"/>
        </w:rPr>
        <w:pict w14:anchorId="22A93172">
          <v:rect id="_x0000_i1033" style="width:0;height:1.5pt" o:hralign="center" o:hrstd="t" o:hr="t" fillcolor="#a0a0a0" stroked="f"/>
        </w:pict>
      </w:r>
    </w:p>
    <w:p w14:paraId="7E7219B4" w14:textId="77777777" w:rsidR="003F0D51" w:rsidRPr="003F0D51" w:rsidRDefault="003F0D51" w:rsidP="003F0D5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F0D51">
        <w:rPr>
          <w:rFonts w:ascii="Times New Roman" w:eastAsia="Times New Roman" w:hAnsi="Times New Roman" w:cs="Times New Roman"/>
          <w:b/>
          <w:bCs/>
          <w:color w:val="000000"/>
          <w:kern w:val="0"/>
          <w:sz w:val="36"/>
          <w:szCs w:val="36"/>
          <w14:ligatures w14:val="none"/>
        </w:rPr>
        <w:t>Aplicação clínica</w:t>
      </w:r>
    </w:p>
    <w:p w14:paraId="7A5117E1" w14:textId="77777777" w:rsidR="003F0D51" w:rsidRPr="003F0D51" w:rsidRDefault="003F0D51" w:rsidP="003F0D51">
      <w:pPr>
        <w:spacing w:before="100" w:beforeAutospacing="1" w:after="100" w:afterAutospacing="1" w:line="240" w:lineRule="auto"/>
        <w:rPr>
          <w:rFonts w:ascii="Times New Roman" w:eastAsia="Times New Roman" w:hAnsi="Times New Roman" w:cs="Times New Roman"/>
          <w:color w:val="000000"/>
          <w:kern w:val="0"/>
          <w14:ligatures w14:val="none"/>
        </w:rPr>
      </w:pPr>
      <w:r w:rsidRPr="003F0D51">
        <w:rPr>
          <w:rFonts w:ascii="Times New Roman" w:eastAsia="Times New Roman" w:hAnsi="Times New Roman" w:cs="Times New Roman"/>
          <w:color w:val="000000"/>
          <w:kern w:val="0"/>
          <w14:ligatures w14:val="none"/>
        </w:rPr>
        <w:t>Na prática, identificar uma escoliose antes dos 10 anos deve desencadear uma investigação que vá além da medida do ângulo da curva. O primeiro passo é definir a etiologia e determinar se a deformidade está progredindo. História clínica, exame neurológico, avaliação do tronco, pelve e marcha e radiografias seriadas permitem compreender o comportamento ao longo do crescimento. Curvas incomuns, dor, deterioração rápida ou alterações neurológicas justificam investigação adicional, sobretudo por ressonância magnética.</w:t>
      </w:r>
    </w:p>
    <w:p w14:paraId="140E1EEF" w14:textId="77777777" w:rsidR="003F0D51" w:rsidRPr="003F0D51" w:rsidRDefault="003F0D51" w:rsidP="003F0D51">
      <w:pPr>
        <w:spacing w:before="100" w:beforeAutospacing="1" w:after="100" w:afterAutospacing="1" w:line="240" w:lineRule="auto"/>
        <w:rPr>
          <w:rFonts w:ascii="Times New Roman" w:eastAsia="Times New Roman" w:hAnsi="Times New Roman" w:cs="Times New Roman"/>
          <w:color w:val="000000"/>
          <w:kern w:val="0"/>
          <w14:ligatures w14:val="none"/>
        </w:rPr>
      </w:pPr>
      <w:r w:rsidRPr="003F0D51">
        <w:rPr>
          <w:rFonts w:ascii="Times New Roman" w:eastAsia="Times New Roman" w:hAnsi="Times New Roman" w:cs="Times New Roman"/>
          <w:color w:val="000000"/>
          <w:kern w:val="0"/>
          <w14:ligatures w14:val="none"/>
        </w:rPr>
        <w:t>A decisão terapêutica deve considerar simultaneamente idade, crescimento remanescente, flexibilidade, etiologia, progressão e repercussões torácicas. Uma criança pequena com deformidade potencialmente controlável deve, sempre que possível, ter preservado o crescimento da coluna e da caixa torácica. Gesso seriado pode ocupar papel importante nas fases iniciais; órteses podem ser empregadas em situações selecionadas, reconhecendo-se suas limitações.</w:t>
      </w:r>
    </w:p>
    <w:p w14:paraId="7CC5649A" w14:textId="77777777" w:rsidR="003F0D51" w:rsidRPr="003F0D51" w:rsidRDefault="003F0D51" w:rsidP="003F0D51">
      <w:pPr>
        <w:spacing w:before="100" w:beforeAutospacing="1" w:after="100" w:afterAutospacing="1" w:line="240" w:lineRule="auto"/>
        <w:rPr>
          <w:rFonts w:ascii="Times New Roman" w:eastAsia="Times New Roman" w:hAnsi="Times New Roman" w:cs="Times New Roman"/>
          <w:color w:val="000000"/>
          <w:kern w:val="0"/>
          <w14:ligatures w14:val="none"/>
        </w:rPr>
      </w:pPr>
      <w:r w:rsidRPr="003F0D51">
        <w:rPr>
          <w:rFonts w:ascii="Times New Roman" w:eastAsia="Times New Roman" w:hAnsi="Times New Roman" w:cs="Times New Roman"/>
          <w:color w:val="000000"/>
          <w:kern w:val="0"/>
          <w14:ligatures w14:val="none"/>
        </w:rPr>
        <w:t>Quando a progressão exige cirurgia, não existe um único implante aplicável a todas as EIP. Hastes tradicionais, sistemas magneticamente controlados, VEPTR e Shilla possuem objetivos semelhantes, mas indicações, requisitos e perfis de complicação diferentes. O tratamento definitivo por artrodese deve ser ponderado contra o impacto da perda de crescimento.</w:t>
      </w:r>
    </w:p>
    <w:p w14:paraId="3BB16779" w14:textId="77777777" w:rsidR="003F0D51" w:rsidRPr="003F0D51" w:rsidRDefault="003F0D51" w:rsidP="003F0D51">
      <w:pPr>
        <w:spacing w:before="100" w:beforeAutospacing="1" w:after="100" w:afterAutospacing="1" w:line="240" w:lineRule="auto"/>
        <w:rPr>
          <w:rFonts w:ascii="Times New Roman" w:eastAsia="Times New Roman" w:hAnsi="Times New Roman" w:cs="Times New Roman"/>
          <w:color w:val="000000"/>
          <w:kern w:val="0"/>
          <w14:ligatures w14:val="none"/>
        </w:rPr>
      </w:pPr>
      <w:r w:rsidRPr="003F0D51">
        <w:rPr>
          <w:rFonts w:ascii="Times New Roman" w:eastAsia="Times New Roman" w:hAnsi="Times New Roman" w:cs="Times New Roman"/>
          <w:color w:val="000000"/>
          <w:kern w:val="0"/>
          <w14:ligatures w14:val="none"/>
        </w:rPr>
        <w:lastRenderedPageBreak/>
        <w:t>Além da coluna, o acompanhamento deve considerar função respiratória, doenças associadas, capacidade funcional e necessidades do paciente e da família, reforçando a natureza multidisciplinar do tratamento.</w:t>
      </w:r>
    </w:p>
    <w:p w14:paraId="1FDB6CA5" w14:textId="77777777" w:rsidR="003F0D51" w:rsidRPr="003F0D51" w:rsidRDefault="007369A9" w:rsidP="003F0D51">
      <w:pPr>
        <w:spacing w:after="0" w:line="240" w:lineRule="auto"/>
        <w:rPr>
          <w:rFonts w:ascii="Times New Roman" w:eastAsia="Times New Roman" w:hAnsi="Times New Roman" w:cs="Times New Roman"/>
          <w:kern w:val="0"/>
          <w14:ligatures w14:val="none"/>
        </w:rPr>
      </w:pPr>
      <w:r w:rsidRPr="007369A9">
        <w:rPr>
          <w:rFonts w:ascii="Times New Roman" w:eastAsia="Times New Roman" w:hAnsi="Times New Roman" w:cs="Times New Roman"/>
          <w:noProof/>
          <w:kern w:val="0"/>
        </w:rPr>
        <w:pict w14:anchorId="2DE9AE69">
          <v:rect id="_x0000_i1032" style="width:0;height:1.5pt" o:hralign="center" o:hrstd="t" o:hr="t" fillcolor="#a0a0a0" stroked="f"/>
        </w:pict>
      </w:r>
    </w:p>
    <w:p w14:paraId="3FE3A7B2" w14:textId="77777777" w:rsidR="003F0D51" w:rsidRPr="003F0D51" w:rsidRDefault="003F0D51" w:rsidP="003F0D5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F0D51">
        <w:rPr>
          <w:rFonts w:ascii="Times New Roman" w:eastAsia="Times New Roman" w:hAnsi="Times New Roman" w:cs="Times New Roman"/>
          <w:b/>
          <w:bCs/>
          <w:color w:val="000000"/>
          <w:kern w:val="0"/>
          <w:sz w:val="36"/>
          <w:szCs w:val="36"/>
          <w14:ligatures w14:val="none"/>
        </w:rPr>
        <w:t>Mensagem central</w:t>
      </w:r>
    </w:p>
    <w:p w14:paraId="1BA52285" w14:textId="77777777" w:rsidR="003F0D51" w:rsidRPr="003F0D51" w:rsidRDefault="003F0D51" w:rsidP="003F0D51">
      <w:pPr>
        <w:spacing w:before="100" w:beforeAutospacing="1" w:after="100" w:afterAutospacing="1" w:line="240" w:lineRule="auto"/>
        <w:rPr>
          <w:rFonts w:ascii="Times New Roman" w:eastAsia="Times New Roman" w:hAnsi="Times New Roman" w:cs="Times New Roman"/>
          <w:color w:val="000000"/>
          <w:kern w:val="0"/>
          <w14:ligatures w14:val="none"/>
        </w:rPr>
      </w:pPr>
      <w:r w:rsidRPr="003F0D51">
        <w:rPr>
          <w:rFonts w:ascii="Times New Roman" w:eastAsia="Times New Roman" w:hAnsi="Times New Roman" w:cs="Times New Roman"/>
          <w:color w:val="000000"/>
          <w:kern w:val="0"/>
          <w14:ligatures w14:val="none"/>
        </w:rPr>
        <w:t>A escoliose de início precoce deve ser tratada como uma </w:t>
      </w:r>
      <w:r w:rsidRPr="003F0D51">
        <w:rPr>
          <w:rFonts w:ascii="Times New Roman" w:eastAsia="Times New Roman" w:hAnsi="Times New Roman" w:cs="Times New Roman"/>
          <w:b/>
          <w:bCs/>
          <w:color w:val="000000"/>
          <w:kern w:val="0"/>
          <w14:ligatures w14:val="none"/>
        </w:rPr>
        <w:t>doença da coluna em crescimento e do tórax em desenvolvimento</w:t>
      </w:r>
      <w:r w:rsidRPr="003F0D51">
        <w:rPr>
          <w:rFonts w:ascii="Times New Roman" w:eastAsia="Times New Roman" w:hAnsi="Times New Roman" w:cs="Times New Roman"/>
          <w:color w:val="000000"/>
          <w:kern w:val="0"/>
          <w14:ligatures w14:val="none"/>
        </w:rPr>
        <w:t>, e não apenas como uma curva a ser corrigida. Etiologia, progressão, flexibilidade, crescimento remanescente e repercussão cardiorrespiratória determinam a estratégia. O tratamento busca controlar a deformidade preservando desenvolvimento vertebral e torácico sempre que possível, reservando intervenções definitivas para situações em que seu benefício supera o custo biológico da restrição do crescimento.</w:t>
      </w:r>
    </w:p>
    <w:p w14:paraId="292A0D67" w14:textId="77777777" w:rsidR="003F0D51" w:rsidRPr="003F0D51" w:rsidRDefault="007369A9" w:rsidP="003F0D51">
      <w:pPr>
        <w:spacing w:after="0" w:line="240" w:lineRule="auto"/>
        <w:rPr>
          <w:rFonts w:ascii="Times New Roman" w:eastAsia="Times New Roman" w:hAnsi="Times New Roman" w:cs="Times New Roman"/>
          <w:kern w:val="0"/>
          <w14:ligatures w14:val="none"/>
        </w:rPr>
      </w:pPr>
      <w:r w:rsidRPr="007369A9">
        <w:rPr>
          <w:rFonts w:ascii="Times New Roman" w:eastAsia="Times New Roman" w:hAnsi="Times New Roman" w:cs="Times New Roman"/>
          <w:noProof/>
          <w:kern w:val="0"/>
        </w:rPr>
        <w:pict w14:anchorId="15EA9973">
          <v:rect id="_x0000_i1031" style="width:0;height:1.5pt" o:hralign="center" o:hrstd="t" o:hr="t" fillcolor="#a0a0a0" stroked="f"/>
        </w:pict>
      </w:r>
    </w:p>
    <w:p w14:paraId="4D50EE07" w14:textId="77777777" w:rsidR="003F0D51" w:rsidRPr="003F0D51" w:rsidRDefault="003F0D51" w:rsidP="003F0D5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F0D51">
        <w:rPr>
          <w:rFonts w:ascii="Times New Roman" w:eastAsia="Times New Roman" w:hAnsi="Times New Roman" w:cs="Times New Roman"/>
          <w:b/>
          <w:bCs/>
          <w:color w:val="000000"/>
          <w:kern w:val="0"/>
          <w:sz w:val="36"/>
          <w:szCs w:val="36"/>
          <w14:ligatures w14:val="none"/>
        </w:rPr>
        <w:t>Por que este capítulo importa</w:t>
      </w:r>
    </w:p>
    <w:p w14:paraId="34C85291" w14:textId="77777777" w:rsidR="003F0D51" w:rsidRPr="003F0D51" w:rsidRDefault="003F0D51" w:rsidP="003F0D51">
      <w:pPr>
        <w:spacing w:before="100" w:beforeAutospacing="1" w:after="100" w:afterAutospacing="1" w:line="240" w:lineRule="auto"/>
        <w:rPr>
          <w:rFonts w:ascii="Times New Roman" w:eastAsia="Times New Roman" w:hAnsi="Times New Roman" w:cs="Times New Roman"/>
          <w:color w:val="000000"/>
          <w:kern w:val="0"/>
          <w14:ligatures w14:val="none"/>
        </w:rPr>
      </w:pPr>
      <w:r w:rsidRPr="003F0D51">
        <w:rPr>
          <w:rFonts w:ascii="Times New Roman" w:eastAsia="Times New Roman" w:hAnsi="Times New Roman" w:cs="Times New Roman"/>
          <w:color w:val="000000"/>
          <w:kern w:val="0"/>
          <w14:ligatures w14:val="none"/>
        </w:rPr>
        <w:t>Na EIP, controlar a curva é apenas parte do problema. O mesmo procedimento que corrige uma deformidade pode limitar o crescimento da coluna e da caixa torácica se realizado precocemente, enquanto postergar excessivamente o tratamento pode permitir progressão irreversível e comprometimento pulmonar. Este capítulo mostra como equilibrar esses riscos a partir da etiologia, da velocidade de progressão e do crescimento remanescente. Também explica por que estratégias conservadoras e técnicas que preservam crescimento ocupam papel central e por que o tratamento precisa ser planejado para anos de desenvolvimento, e não apenas para a radiografia atual.</w:t>
      </w:r>
    </w:p>
    <w:p w14:paraId="04145E38" w14:textId="77777777" w:rsidR="003F0D51" w:rsidRPr="003F0D51" w:rsidRDefault="007369A9" w:rsidP="003F0D51">
      <w:pPr>
        <w:spacing w:after="0" w:line="240" w:lineRule="auto"/>
        <w:rPr>
          <w:rFonts w:ascii="Times New Roman" w:eastAsia="Times New Roman" w:hAnsi="Times New Roman" w:cs="Times New Roman"/>
          <w:kern w:val="0"/>
          <w14:ligatures w14:val="none"/>
        </w:rPr>
      </w:pPr>
      <w:r w:rsidRPr="007369A9">
        <w:rPr>
          <w:rFonts w:ascii="Times New Roman" w:eastAsia="Times New Roman" w:hAnsi="Times New Roman" w:cs="Times New Roman"/>
          <w:noProof/>
          <w:kern w:val="0"/>
        </w:rPr>
        <w:pict w14:anchorId="57208591">
          <v:rect id="_x0000_i1030" style="width:0;height:1.5pt" o:hralign="center" o:hrstd="t" o:hr="t" fillcolor="#a0a0a0" stroked="f"/>
        </w:pict>
      </w:r>
    </w:p>
    <w:p w14:paraId="1C6F4025" w14:textId="77777777" w:rsidR="003F0D51" w:rsidRPr="003F0D51" w:rsidRDefault="003F0D51" w:rsidP="003F0D51">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3F0D51">
        <w:rPr>
          <w:rFonts w:ascii="Times New Roman" w:eastAsia="Times New Roman" w:hAnsi="Times New Roman" w:cs="Times New Roman"/>
          <w:b/>
          <w:bCs/>
          <w:color w:val="000000"/>
          <w:kern w:val="36"/>
          <w:sz w:val="48"/>
          <w:szCs w:val="48"/>
          <w14:ligatures w14:val="none"/>
        </w:rPr>
        <w:t>Palavras-chave e descritores</w:t>
      </w:r>
    </w:p>
    <w:p w14:paraId="72FC8EF3" w14:textId="77777777" w:rsidR="003F0D51" w:rsidRPr="003F0D51" w:rsidRDefault="003F0D51" w:rsidP="003F0D5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F0D51">
        <w:rPr>
          <w:rFonts w:ascii="Times New Roman" w:eastAsia="Times New Roman" w:hAnsi="Times New Roman" w:cs="Times New Roman"/>
          <w:b/>
          <w:bCs/>
          <w:color w:val="000000"/>
          <w:kern w:val="0"/>
          <w:sz w:val="36"/>
          <w:szCs w:val="36"/>
          <w14:ligatures w14:val="none"/>
        </w:rPr>
        <w:t>Descritores controlados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94"/>
        <w:gridCol w:w="2941"/>
      </w:tblGrid>
      <w:tr w:rsidR="003F0D51" w:rsidRPr="003F0D51" w14:paraId="39BF5995" w14:textId="77777777">
        <w:trPr>
          <w:tblHeader/>
          <w:tblCellSpacing w:w="15" w:type="dxa"/>
        </w:trPr>
        <w:tc>
          <w:tcPr>
            <w:tcW w:w="0" w:type="auto"/>
            <w:vAlign w:val="center"/>
            <w:hideMark/>
          </w:tcPr>
          <w:p w14:paraId="5E04F35E" w14:textId="77777777" w:rsidR="003F0D51" w:rsidRPr="003F0D51" w:rsidRDefault="003F0D51" w:rsidP="003F0D51">
            <w:pPr>
              <w:spacing w:after="0" w:line="240" w:lineRule="auto"/>
              <w:jc w:val="center"/>
              <w:rPr>
                <w:rFonts w:ascii="Times New Roman" w:eastAsia="Times New Roman" w:hAnsi="Times New Roman" w:cs="Times New Roman"/>
                <w:b/>
                <w:bCs/>
                <w:color w:val="000000"/>
                <w:kern w:val="0"/>
                <w14:ligatures w14:val="none"/>
              </w:rPr>
            </w:pPr>
            <w:r w:rsidRPr="003F0D51">
              <w:rPr>
                <w:rFonts w:ascii="Times New Roman" w:eastAsia="Times New Roman" w:hAnsi="Times New Roman" w:cs="Times New Roman"/>
                <w:b/>
                <w:bCs/>
                <w:color w:val="000000"/>
                <w:kern w:val="0"/>
                <w14:ligatures w14:val="none"/>
              </w:rPr>
              <w:t>DeCS — português</w:t>
            </w:r>
          </w:p>
        </w:tc>
        <w:tc>
          <w:tcPr>
            <w:tcW w:w="0" w:type="auto"/>
            <w:vAlign w:val="center"/>
            <w:hideMark/>
          </w:tcPr>
          <w:p w14:paraId="7EF936FC" w14:textId="77777777" w:rsidR="003F0D51" w:rsidRPr="003F0D51" w:rsidRDefault="003F0D51" w:rsidP="003F0D51">
            <w:pPr>
              <w:spacing w:after="0" w:line="240" w:lineRule="auto"/>
              <w:jc w:val="center"/>
              <w:rPr>
                <w:rFonts w:ascii="Times New Roman" w:eastAsia="Times New Roman" w:hAnsi="Times New Roman" w:cs="Times New Roman"/>
                <w:b/>
                <w:bCs/>
                <w:color w:val="000000"/>
                <w:kern w:val="0"/>
                <w14:ligatures w14:val="none"/>
              </w:rPr>
            </w:pPr>
            <w:r w:rsidRPr="003F0D51">
              <w:rPr>
                <w:rFonts w:ascii="Times New Roman" w:eastAsia="Times New Roman" w:hAnsi="Times New Roman" w:cs="Times New Roman"/>
                <w:b/>
                <w:bCs/>
                <w:color w:val="000000"/>
                <w:kern w:val="0"/>
                <w14:ligatures w14:val="none"/>
              </w:rPr>
              <w:t>MeSH — inglês</w:t>
            </w:r>
          </w:p>
        </w:tc>
      </w:tr>
      <w:tr w:rsidR="003F0D51" w:rsidRPr="003F0D51" w14:paraId="2509FE40" w14:textId="77777777">
        <w:trPr>
          <w:tblCellSpacing w:w="15" w:type="dxa"/>
        </w:trPr>
        <w:tc>
          <w:tcPr>
            <w:tcW w:w="0" w:type="auto"/>
            <w:vAlign w:val="center"/>
            <w:hideMark/>
          </w:tcPr>
          <w:p w14:paraId="7CDC8284" w14:textId="77777777" w:rsidR="003F0D51" w:rsidRPr="003F0D51" w:rsidRDefault="003F0D51" w:rsidP="003F0D51">
            <w:pPr>
              <w:spacing w:after="0" w:line="240" w:lineRule="auto"/>
              <w:rPr>
                <w:rFonts w:ascii="Times New Roman" w:eastAsia="Times New Roman" w:hAnsi="Times New Roman" w:cs="Times New Roman"/>
                <w:color w:val="000000"/>
                <w:kern w:val="0"/>
                <w14:ligatures w14:val="none"/>
              </w:rPr>
            </w:pPr>
            <w:r w:rsidRPr="003F0D51">
              <w:rPr>
                <w:rFonts w:ascii="Times New Roman" w:eastAsia="Times New Roman" w:hAnsi="Times New Roman" w:cs="Times New Roman"/>
                <w:color w:val="000000"/>
                <w:kern w:val="0"/>
                <w14:ligatures w14:val="none"/>
              </w:rPr>
              <w:t>Escoliose</w:t>
            </w:r>
          </w:p>
        </w:tc>
        <w:tc>
          <w:tcPr>
            <w:tcW w:w="0" w:type="auto"/>
            <w:vAlign w:val="center"/>
            <w:hideMark/>
          </w:tcPr>
          <w:p w14:paraId="3287F68B" w14:textId="77777777" w:rsidR="003F0D51" w:rsidRPr="003F0D51" w:rsidRDefault="003F0D51" w:rsidP="003F0D51">
            <w:pPr>
              <w:spacing w:after="0" w:line="240" w:lineRule="auto"/>
              <w:rPr>
                <w:rFonts w:ascii="Times New Roman" w:eastAsia="Times New Roman" w:hAnsi="Times New Roman" w:cs="Times New Roman"/>
                <w:color w:val="000000"/>
                <w:kern w:val="0"/>
                <w14:ligatures w14:val="none"/>
              </w:rPr>
            </w:pPr>
            <w:r w:rsidRPr="003F0D51">
              <w:rPr>
                <w:rFonts w:ascii="Times New Roman" w:eastAsia="Times New Roman" w:hAnsi="Times New Roman" w:cs="Times New Roman"/>
                <w:color w:val="000000"/>
                <w:kern w:val="0"/>
                <w14:ligatures w14:val="none"/>
              </w:rPr>
              <w:t>Scoliosis</w:t>
            </w:r>
          </w:p>
        </w:tc>
      </w:tr>
      <w:tr w:rsidR="003F0D51" w:rsidRPr="003F0D51" w14:paraId="2FD9C329" w14:textId="77777777">
        <w:trPr>
          <w:tblCellSpacing w:w="15" w:type="dxa"/>
        </w:trPr>
        <w:tc>
          <w:tcPr>
            <w:tcW w:w="0" w:type="auto"/>
            <w:vAlign w:val="center"/>
            <w:hideMark/>
          </w:tcPr>
          <w:p w14:paraId="0B6BA93B" w14:textId="77777777" w:rsidR="003F0D51" w:rsidRPr="003F0D51" w:rsidRDefault="003F0D51" w:rsidP="003F0D51">
            <w:pPr>
              <w:spacing w:after="0" w:line="240" w:lineRule="auto"/>
              <w:rPr>
                <w:rFonts w:ascii="Times New Roman" w:eastAsia="Times New Roman" w:hAnsi="Times New Roman" w:cs="Times New Roman"/>
                <w:color w:val="000000"/>
                <w:kern w:val="0"/>
                <w14:ligatures w14:val="none"/>
              </w:rPr>
            </w:pPr>
            <w:r w:rsidRPr="003F0D51">
              <w:rPr>
                <w:rFonts w:ascii="Times New Roman" w:eastAsia="Times New Roman" w:hAnsi="Times New Roman" w:cs="Times New Roman"/>
                <w:color w:val="000000"/>
                <w:kern w:val="0"/>
                <w14:ligatures w14:val="none"/>
              </w:rPr>
              <w:t>Criança</w:t>
            </w:r>
          </w:p>
        </w:tc>
        <w:tc>
          <w:tcPr>
            <w:tcW w:w="0" w:type="auto"/>
            <w:vAlign w:val="center"/>
            <w:hideMark/>
          </w:tcPr>
          <w:p w14:paraId="3C47F6F4" w14:textId="77777777" w:rsidR="003F0D51" w:rsidRPr="003F0D51" w:rsidRDefault="003F0D51" w:rsidP="003F0D51">
            <w:pPr>
              <w:spacing w:after="0" w:line="240" w:lineRule="auto"/>
              <w:rPr>
                <w:rFonts w:ascii="Times New Roman" w:eastAsia="Times New Roman" w:hAnsi="Times New Roman" w:cs="Times New Roman"/>
                <w:color w:val="000000"/>
                <w:kern w:val="0"/>
                <w14:ligatures w14:val="none"/>
              </w:rPr>
            </w:pPr>
            <w:r w:rsidRPr="003F0D51">
              <w:rPr>
                <w:rFonts w:ascii="Times New Roman" w:eastAsia="Times New Roman" w:hAnsi="Times New Roman" w:cs="Times New Roman"/>
                <w:color w:val="000000"/>
                <w:kern w:val="0"/>
                <w14:ligatures w14:val="none"/>
              </w:rPr>
              <w:t>Child</w:t>
            </w:r>
          </w:p>
        </w:tc>
      </w:tr>
      <w:tr w:rsidR="003F0D51" w:rsidRPr="003F0D51" w14:paraId="0144FF9C" w14:textId="77777777">
        <w:trPr>
          <w:tblCellSpacing w:w="15" w:type="dxa"/>
        </w:trPr>
        <w:tc>
          <w:tcPr>
            <w:tcW w:w="0" w:type="auto"/>
            <w:vAlign w:val="center"/>
            <w:hideMark/>
          </w:tcPr>
          <w:p w14:paraId="5020D189" w14:textId="77777777" w:rsidR="003F0D51" w:rsidRPr="003F0D51" w:rsidRDefault="003F0D51" w:rsidP="003F0D51">
            <w:pPr>
              <w:spacing w:after="0" w:line="240" w:lineRule="auto"/>
              <w:rPr>
                <w:rFonts w:ascii="Times New Roman" w:eastAsia="Times New Roman" w:hAnsi="Times New Roman" w:cs="Times New Roman"/>
                <w:color w:val="000000"/>
                <w:kern w:val="0"/>
                <w14:ligatures w14:val="none"/>
              </w:rPr>
            </w:pPr>
            <w:r w:rsidRPr="003F0D51">
              <w:rPr>
                <w:rFonts w:ascii="Times New Roman" w:eastAsia="Times New Roman" w:hAnsi="Times New Roman" w:cs="Times New Roman"/>
                <w:color w:val="000000"/>
                <w:kern w:val="0"/>
                <w14:ligatures w14:val="none"/>
              </w:rPr>
              <w:t>Vértebras Torácicas</w:t>
            </w:r>
          </w:p>
        </w:tc>
        <w:tc>
          <w:tcPr>
            <w:tcW w:w="0" w:type="auto"/>
            <w:vAlign w:val="center"/>
            <w:hideMark/>
          </w:tcPr>
          <w:p w14:paraId="16136637" w14:textId="77777777" w:rsidR="003F0D51" w:rsidRPr="003F0D51" w:rsidRDefault="003F0D51" w:rsidP="003F0D51">
            <w:pPr>
              <w:spacing w:after="0" w:line="240" w:lineRule="auto"/>
              <w:rPr>
                <w:rFonts w:ascii="Times New Roman" w:eastAsia="Times New Roman" w:hAnsi="Times New Roman" w:cs="Times New Roman"/>
                <w:color w:val="000000"/>
                <w:kern w:val="0"/>
                <w14:ligatures w14:val="none"/>
              </w:rPr>
            </w:pPr>
            <w:r w:rsidRPr="003F0D51">
              <w:rPr>
                <w:rFonts w:ascii="Times New Roman" w:eastAsia="Times New Roman" w:hAnsi="Times New Roman" w:cs="Times New Roman"/>
                <w:color w:val="000000"/>
                <w:kern w:val="0"/>
                <w14:ligatures w14:val="none"/>
              </w:rPr>
              <w:t>Thoracic Vertebrae</w:t>
            </w:r>
          </w:p>
        </w:tc>
      </w:tr>
      <w:tr w:rsidR="003F0D51" w:rsidRPr="003F0D51" w14:paraId="54214CC1" w14:textId="77777777">
        <w:trPr>
          <w:tblCellSpacing w:w="15" w:type="dxa"/>
        </w:trPr>
        <w:tc>
          <w:tcPr>
            <w:tcW w:w="0" w:type="auto"/>
            <w:vAlign w:val="center"/>
            <w:hideMark/>
          </w:tcPr>
          <w:p w14:paraId="4F0EBCEB" w14:textId="77777777" w:rsidR="003F0D51" w:rsidRPr="003F0D51" w:rsidRDefault="003F0D51" w:rsidP="003F0D51">
            <w:pPr>
              <w:spacing w:after="0" w:line="240" w:lineRule="auto"/>
              <w:rPr>
                <w:rFonts w:ascii="Times New Roman" w:eastAsia="Times New Roman" w:hAnsi="Times New Roman" w:cs="Times New Roman"/>
                <w:color w:val="000000"/>
                <w:kern w:val="0"/>
                <w14:ligatures w14:val="none"/>
              </w:rPr>
            </w:pPr>
            <w:r w:rsidRPr="003F0D51">
              <w:rPr>
                <w:rFonts w:ascii="Times New Roman" w:eastAsia="Times New Roman" w:hAnsi="Times New Roman" w:cs="Times New Roman"/>
                <w:color w:val="000000"/>
                <w:kern w:val="0"/>
                <w14:ligatures w14:val="none"/>
              </w:rPr>
              <w:t>Anormalidades Congênitas</w:t>
            </w:r>
          </w:p>
        </w:tc>
        <w:tc>
          <w:tcPr>
            <w:tcW w:w="0" w:type="auto"/>
            <w:vAlign w:val="center"/>
            <w:hideMark/>
          </w:tcPr>
          <w:p w14:paraId="03725486" w14:textId="77777777" w:rsidR="003F0D51" w:rsidRPr="003F0D51" w:rsidRDefault="003F0D51" w:rsidP="003F0D51">
            <w:pPr>
              <w:spacing w:after="0" w:line="240" w:lineRule="auto"/>
              <w:rPr>
                <w:rFonts w:ascii="Times New Roman" w:eastAsia="Times New Roman" w:hAnsi="Times New Roman" w:cs="Times New Roman"/>
                <w:color w:val="000000"/>
                <w:kern w:val="0"/>
                <w14:ligatures w14:val="none"/>
              </w:rPr>
            </w:pPr>
            <w:r w:rsidRPr="003F0D51">
              <w:rPr>
                <w:rFonts w:ascii="Times New Roman" w:eastAsia="Times New Roman" w:hAnsi="Times New Roman" w:cs="Times New Roman"/>
                <w:color w:val="000000"/>
                <w:kern w:val="0"/>
                <w14:ligatures w14:val="none"/>
              </w:rPr>
              <w:t>Congenital Abnormalities</w:t>
            </w:r>
          </w:p>
        </w:tc>
      </w:tr>
      <w:tr w:rsidR="003F0D51" w:rsidRPr="003F0D51" w14:paraId="3DAD7A01" w14:textId="77777777">
        <w:trPr>
          <w:tblCellSpacing w:w="15" w:type="dxa"/>
        </w:trPr>
        <w:tc>
          <w:tcPr>
            <w:tcW w:w="0" w:type="auto"/>
            <w:vAlign w:val="center"/>
            <w:hideMark/>
          </w:tcPr>
          <w:p w14:paraId="1C8A6B2C" w14:textId="77777777" w:rsidR="003F0D51" w:rsidRPr="003F0D51" w:rsidRDefault="003F0D51" w:rsidP="003F0D51">
            <w:pPr>
              <w:spacing w:after="0" w:line="240" w:lineRule="auto"/>
              <w:rPr>
                <w:rFonts w:ascii="Times New Roman" w:eastAsia="Times New Roman" w:hAnsi="Times New Roman" w:cs="Times New Roman"/>
                <w:color w:val="000000"/>
                <w:kern w:val="0"/>
                <w14:ligatures w14:val="none"/>
              </w:rPr>
            </w:pPr>
            <w:r w:rsidRPr="003F0D51">
              <w:rPr>
                <w:rFonts w:ascii="Times New Roman" w:eastAsia="Times New Roman" w:hAnsi="Times New Roman" w:cs="Times New Roman"/>
                <w:color w:val="000000"/>
                <w:kern w:val="0"/>
                <w14:ligatures w14:val="none"/>
              </w:rPr>
              <w:t>Radiografia</w:t>
            </w:r>
          </w:p>
        </w:tc>
        <w:tc>
          <w:tcPr>
            <w:tcW w:w="0" w:type="auto"/>
            <w:vAlign w:val="center"/>
            <w:hideMark/>
          </w:tcPr>
          <w:p w14:paraId="053E2F69" w14:textId="77777777" w:rsidR="003F0D51" w:rsidRPr="003F0D51" w:rsidRDefault="003F0D51" w:rsidP="003F0D51">
            <w:pPr>
              <w:spacing w:after="0" w:line="240" w:lineRule="auto"/>
              <w:rPr>
                <w:rFonts w:ascii="Times New Roman" w:eastAsia="Times New Roman" w:hAnsi="Times New Roman" w:cs="Times New Roman"/>
                <w:color w:val="000000"/>
                <w:kern w:val="0"/>
                <w14:ligatures w14:val="none"/>
              </w:rPr>
            </w:pPr>
            <w:r w:rsidRPr="003F0D51">
              <w:rPr>
                <w:rFonts w:ascii="Times New Roman" w:eastAsia="Times New Roman" w:hAnsi="Times New Roman" w:cs="Times New Roman"/>
                <w:color w:val="000000"/>
                <w:kern w:val="0"/>
                <w14:ligatures w14:val="none"/>
              </w:rPr>
              <w:t>Radiography</w:t>
            </w:r>
          </w:p>
        </w:tc>
      </w:tr>
      <w:tr w:rsidR="003F0D51" w:rsidRPr="003F0D51" w14:paraId="3A61F963" w14:textId="77777777">
        <w:trPr>
          <w:tblCellSpacing w:w="15" w:type="dxa"/>
        </w:trPr>
        <w:tc>
          <w:tcPr>
            <w:tcW w:w="0" w:type="auto"/>
            <w:vAlign w:val="center"/>
            <w:hideMark/>
          </w:tcPr>
          <w:p w14:paraId="432E4E4E" w14:textId="77777777" w:rsidR="003F0D51" w:rsidRPr="003F0D51" w:rsidRDefault="003F0D51" w:rsidP="003F0D51">
            <w:pPr>
              <w:spacing w:after="0" w:line="240" w:lineRule="auto"/>
              <w:rPr>
                <w:rFonts w:ascii="Times New Roman" w:eastAsia="Times New Roman" w:hAnsi="Times New Roman" w:cs="Times New Roman"/>
                <w:color w:val="000000"/>
                <w:kern w:val="0"/>
                <w14:ligatures w14:val="none"/>
              </w:rPr>
            </w:pPr>
            <w:r w:rsidRPr="003F0D51">
              <w:rPr>
                <w:rFonts w:ascii="Times New Roman" w:eastAsia="Times New Roman" w:hAnsi="Times New Roman" w:cs="Times New Roman"/>
                <w:color w:val="000000"/>
                <w:kern w:val="0"/>
                <w14:ligatures w14:val="none"/>
              </w:rPr>
              <w:t>Imageamento por Ressonância Magnética</w:t>
            </w:r>
          </w:p>
        </w:tc>
        <w:tc>
          <w:tcPr>
            <w:tcW w:w="0" w:type="auto"/>
            <w:vAlign w:val="center"/>
            <w:hideMark/>
          </w:tcPr>
          <w:p w14:paraId="627EED49" w14:textId="77777777" w:rsidR="003F0D51" w:rsidRPr="003F0D51" w:rsidRDefault="003F0D51" w:rsidP="003F0D51">
            <w:pPr>
              <w:spacing w:after="0" w:line="240" w:lineRule="auto"/>
              <w:rPr>
                <w:rFonts w:ascii="Times New Roman" w:eastAsia="Times New Roman" w:hAnsi="Times New Roman" w:cs="Times New Roman"/>
                <w:color w:val="000000"/>
                <w:kern w:val="0"/>
                <w14:ligatures w14:val="none"/>
              </w:rPr>
            </w:pPr>
            <w:r w:rsidRPr="003F0D51">
              <w:rPr>
                <w:rFonts w:ascii="Times New Roman" w:eastAsia="Times New Roman" w:hAnsi="Times New Roman" w:cs="Times New Roman"/>
                <w:color w:val="000000"/>
                <w:kern w:val="0"/>
                <w14:ligatures w14:val="none"/>
              </w:rPr>
              <w:t>Magnetic Resonance Imaging</w:t>
            </w:r>
          </w:p>
        </w:tc>
      </w:tr>
      <w:tr w:rsidR="003F0D51" w:rsidRPr="003F0D51" w14:paraId="722EA802" w14:textId="77777777">
        <w:trPr>
          <w:tblCellSpacing w:w="15" w:type="dxa"/>
        </w:trPr>
        <w:tc>
          <w:tcPr>
            <w:tcW w:w="0" w:type="auto"/>
            <w:vAlign w:val="center"/>
            <w:hideMark/>
          </w:tcPr>
          <w:p w14:paraId="5BA92C12" w14:textId="77777777" w:rsidR="003F0D51" w:rsidRPr="003F0D51" w:rsidRDefault="003F0D51" w:rsidP="003F0D51">
            <w:pPr>
              <w:spacing w:after="0" w:line="240" w:lineRule="auto"/>
              <w:rPr>
                <w:rFonts w:ascii="Times New Roman" w:eastAsia="Times New Roman" w:hAnsi="Times New Roman" w:cs="Times New Roman"/>
                <w:color w:val="000000"/>
                <w:kern w:val="0"/>
                <w14:ligatures w14:val="none"/>
              </w:rPr>
            </w:pPr>
            <w:r w:rsidRPr="003F0D51">
              <w:rPr>
                <w:rFonts w:ascii="Times New Roman" w:eastAsia="Times New Roman" w:hAnsi="Times New Roman" w:cs="Times New Roman"/>
                <w:color w:val="000000"/>
                <w:kern w:val="0"/>
                <w14:ligatures w14:val="none"/>
              </w:rPr>
              <w:t>Fusão Vertebral</w:t>
            </w:r>
          </w:p>
        </w:tc>
        <w:tc>
          <w:tcPr>
            <w:tcW w:w="0" w:type="auto"/>
            <w:vAlign w:val="center"/>
            <w:hideMark/>
          </w:tcPr>
          <w:p w14:paraId="040C97F8" w14:textId="77777777" w:rsidR="003F0D51" w:rsidRPr="003F0D51" w:rsidRDefault="003F0D51" w:rsidP="003F0D51">
            <w:pPr>
              <w:spacing w:after="0" w:line="240" w:lineRule="auto"/>
              <w:rPr>
                <w:rFonts w:ascii="Times New Roman" w:eastAsia="Times New Roman" w:hAnsi="Times New Roman" w:cs="Times New Roman"/>
                <w:color w:val="000000"/>
                <w:kern w:val="0"/>
                <w14:ligatures w14:val="none"/>
              </w:rPr>
            </w:pPr>
            <w:r w:rsidRPr="003F0D51">
              <w:rPr>
                <w:rFonts w:ascii="Times New Roman" w:eastAsia="Times New Roman" w:hAnsi="Times New Roman" w:cs="Times New Roman"/>
                <w:color w:val="000000"/>
                <w:kern w:val="0"/>
                <w14:ligatures w14:val="none"/>
              </w:rPr>
              <w:t>Spinal Fusion</w:t>
            </w:r>
          </w:p>
        </w:tc>
      </w:tr>
    </w:tbl>
    <w:p w14:paraId="56EBD7BE" w14:textId="77777777" w:rsidR="003F0D51" w:rsidRPr="003F0D51" w:rsidRDefault="003F0D51" w:rsidP="003F0D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3F0D51">
        <w:rPr>
          <w:rFonts w:ascii="Times New Roman" w:eastAsia="Times New Roman" w:hAnsi="Times New Roman" w:cs="Times New Roman"/>
          <w:b/>
          <w:bCs/>
          <w:color w:val="000000"/>
          <w:kern w:val="0"/>
          <w:sz w:val="27"/>
          <w:szCs w:val="27"/>
          <w14:ligatures w14:val="none"/>
        </w:rPr>
        <w:lastRenderedPageBreak/>
        <w:t>Palavras-chave livres adicionais</w:t>
      </w:r>
    </w:p>
    <w:p w14:paraId="30C08984" w14:textId="77777777" w:rsidR="003F0D51" w:rsidRPr="003F0D51" w:rsidRDefault="003F0D51" w:rsidP="003F0D51">
      <w:pPr>
        <w:spacing w:before="100" w:beforeAutospacing="1" w:after="100" w:afterAutospacing="1" w:line="240" w:lineRule="auto"/>
        <w:rPr>
          <w:rFonts w:ascii="Times New Roman" w:eastAsia="Times New Roman" w:hAnsi="Times New Roman" w:cs="Times New Roman"/>
          <w:color w:val="000000"/>
          <w:kern w:val="0"/>
          <w14:ligatures w14:val="none"/>
        </w:rPr>
      </w:pPr>
      <w:r w:rsidRPr="003F0D51">
        <w:rPr>
          <w:rFonts w:ascii="Times New Roman" w:eastAsia="Times New Roman" w:hAnsi="Times New Roman" w:cs="Times New Roman"/>
          <w:b/>
          <w:bCs/>
          <w:color w:val="000000"/>
          <w:kern w:val="0"/>
          <w14:ligatures w14:val="none"/>
        </w:rPr>
        <w:t>Escoliose de início precoce; síndrome da insuficiência torácica; C-EOS; ângulo de Mehta; crescimento torácico; hastes de crescimento; VEPTR; hastes controladas magneticamente; técnica de Shilla; estratégias growth-friendly.</w:t>
      </w:r>
    </w:p>
    <w:p w14:paraId="6DDB1258" w14:textId="77777777" w:rsidR="003F0D51" w:rsidRPr="003F0D51" w:rsidRDefault="007369A9" w:rsidP="003F0D51">
      <w:pPr>
        <w:spacing w:after="0" w:line="240" w:lineRule="auto"/>
        <w:rPr>
          <w:rFonts w:ascii="Times New Roman" w:eastAsia="Times New Roman" w:hAnsi="Times New Roman" w:cs="Times New Roman"/>
          <w:kern w:val="0"/>
          <w14:ligatures w14:val="none"/>
        </w:rPr>
      </w:pPr>
      <w:r w:rsidRPr="007369A9">
        <w:rPr>
          <w:rFonts w:ascii="Times New Roman" w:eastAsia="Times New Roman" w:hAnsi="Times New Roman" w:cs="Times New Roman"/>
          <w:noProof/>
          <w:kern w:val="0"/>
        </w:rPr>
        <w:pict w14:anchorId="79F4B87E">
          <v:rect id="_x0000_i1029" style="width:0;height:1.5pt" o:hralign="center" o:hrstd="t" o:hr="t" fillcolor="#a0a0a0" stroked="f"/>
        </w:pict>
      </w:r>
    </w:p>
    <w:p w14:paraId="085BA02D" w14:textId="77777777" w:rsidR="003F0D51" w:rsidRPr="003F0D51" w:rsidRDefault="003F0D51" w:rsidP="003F0D51">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3F0D51">
        <w:rPr>
          <w:rFonts w:ascii="Times New Roman" w:eastAsia="Times New Roman" w:hAnsi="Times New Roman" w:cs="Times New Roman"/>
          <w:b/>
          <w:bCs/>
          <w:color w:val="000000"/>
          <w:kern w:val="36"/>
          <w:sz w:val="48"/>
          <w:szCs w:val="48"/>
          <w14:ligatures w14:val="none"/>
        </w:rPr>
        <w:t>Três cards de destaque</w:t>
      </w:r>
    </w:p>
    <w:p w14:paraId="3E1C8888" w14:textId="77777777" w:rsidR="003F0D51" w:rsidRPr="003F0D51" w:rsidRDefault="003F0D51" w:rsidP="003F0D5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F0D51">
        <w:rPr>
          <w:rFonts w:ascii="Times New Roman" w:eastAsia="Times New Roman" w:hAnsi="Times New Roman" w:cs="Times New Roman"/>
          <w:b/>
          <w:bCs/>
          <w:color w:val="000000"/>
          <w:kern w:val="0"/>
          <w:sz w:val="36"/>
          <w:szCs w:val="36"/>
          <w14:ligatures w14:val="none"/>
        </w:rPr>
        <w:t>Card 1 — Conceito essencial</w:t>
      </w:r>
    </w:p>
    <w:p w14:paraId="67AEAD5C" w14:textId="77777777" w:rsidR="003F0D51" w:rsidRPr="003F0D51" w:rsidRDefault="003F0D51" w:rsidP="003F0D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3F0D51">
        <w:rPr>
          <w:rFonts w:ascii="Times New Roman" w:eastAsia="Times New Roman" w:hAnsi="Times New Roman" w:cs="Times New Roman"/>
          <w:b/>
          <w:bCs/>
          <w:color w:val="000000"/>
          <w:kern w:val="0"/>
          <w:sz w:val="27"/>
          <w:szCs w:val="27"/>
          <w14:ligatures w14:val="none"/>
        </w:rPr>
        <w:t>Crescimento faz parte do tratamento</w:t>
      </w:r>
    </w:p>
    <w:p w14:paraId="333D881A" w14:textId="77777777" w:rsidR="003F0D51" w:rsidRPr="003F0D51" w:rsidRDefault="003F0D51" w:rsidP="003F0D51">
      <w:pPr>
        <w:spacing w:before="100" w:beforeAutospacing="1" w:after="100" w:afterAutospacing="1" w:line="240" w:lineRule="auto"/>
        <w:rPr>
          <w:rFonts w:ascii="Times New Roman" w:eastAsia="Times New Roman" w:hAnsi="Times New Roman" w:cs="Times New Roman"/>
          <w:color w:val="000000"/>
          <w:kern w:val="0"/>
          <w14:ligatures w14:val="none"/>
        </w:rPr>
      </w:pPr>
      <w:r w:rsidRPr="003F0D51">
        <w:rPr>
          <w:rFonts w:ascii="Times New Roman" w:eastAsia="Times New Roman" w:hAnsi="Times New Roman" w:cs="Times New Roman"/>
          <w:color w:val="000000"/>
          <w:kern w:val="0"/>
          <w14:ligatures w14:val="none"/>
        </w:rPr>
        <w:t>Na EIP, coluna, caixa torácica e pulmões ainda estão se desenvolvendo. Controlar a deformidade sem considerar esse crescimento pode trocar um problema de alinhamento por uma limitação torácica permanente. A estratégia terapêutica deve, portanto, equilibrar correção e preservação do desenvolvimento.</w:t>
      </w:r>
    </w:p>
    <w:p w14:paraId="5A9B1394" w14:textId="77777777" w:rsidR="003F0D51" w:rsidRPr="003F0D51" w:rsidRDefault="007369A9" w:rsidP="003F0D51">
      <w:pPr>
        <w:spacing w:after="0" w:line="240" w:lineRule="auto"/>
        <w:rPr>
          <w:rFonts w:ascii="Times New Roman" w:eastAsia="Times New Roman" w:hAnsi="Times New Roman" w:cs="Times New Roman"/>
          <w:kern w:val="0"/>
          <w14:ligatures w14:val="none"/>
        </w:rPr>
      </w:pPr>
      <w:r w:rsidRPr="007369A9">
        <w:rPr>
          <w:rFonts w:ascii="Times New Roman" w:eastAsia="Times New Roman" w:hAnsi="Times New Roman" w:cs="Times New Roman"/>
          <w:noProof/>
          <w:kern w:val="0"/>
        </w:rPr>
        <w:pict w14:anchorId="386A15BC">
          <v:rect id="_x0000_i1028" style="width:0;height:1.5pt" o:hralign="center" o:hrstd="t" o:hr="t" fillcolor="#a0a0a0" stroked="f"/>
        </w:pict>
      </w:r>
    </w:p>
    <w:p w14:paraId="0A4AEF35" w14:textId="77777777" w:rsidR="003F0D51" w:rsidRPr="003F0D51" w:rsidRDefault="003F0D51" w:rsidP="003F0D5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F0D51">
        <w:rPr>
          <w:rFonts w:ascii="Times New Roman" w:eastAsia="Times New Roman" w:hAnsi="Times New Roman" w:cs="Times New Roman"/>
          <w:b/>
          <w:bCs/>
          <w:color w:val="000000"/>
          <w:kern w:val="0"/>
          <w:sz w:val="36"/>
          <w:szCs w:val="36"/>
          <w14:ligatures w14:val="none"/>
        </w:rPr>
        <w:t>Card 2 — Decisão clínica</w:t>
      </w:r>
    </w:p>
    <w:p w14:paraId="77C780F1" w14:textId="77777777" w:rsidR="003F0D51" w:rsidRPr="003F0D51" w:rsidRDefault="003F0D51" w:rsidP="003F0D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3F0D51">
        <w:rPr>
          <w:rFonts w:ascii="Times New Roman" w:eastAsia="Times New Roman" w:hAnsi="Times New Roman" w:cs="Times New Roman"/>
          <w:b/>
          <w:bCs/>
          <w:color w:val="000000"/>
          <w:kern w:val="0"/>
          <w:sz w:val="27"/>
          <w:szCs w:val="27"/>
          <w14:ligatures w14:val="none"/>
        </w:rPr>
        <w:t>Etiologia muda a estratégia</w:t>
      </w:r>
    </w:p>
    <w:p w14:paraId="3BAAA2B3" w14:textId="77777777" w:rsidR="003F0D51" w:rsidRPr="003F0D51" w:rsidRDefault="003F0D51" w:rsidP="003F0D51">
      <w:pPr>
        <w:spacing w:before="100" w:beforeAutospacing="1" w:after="100" w:afterAutospacing="1" w:line="240" w:lineRule="auto"/>
        <w:rPr>
          <w:rFonts w:ascii="Times New Roman" w:eastAsia="Times New Roman" w:hAnsi="Times New Roman" w:cs="Times New Roman"/>
          <w:color w:val="000000"/>
          <w:kern w:val="0"/>
          <w14:ligatures w14:val="none"/>
        </w:rPr>
      </w:pPr>
      <w:r w:rsidRPr="003F0D51">
        <w:rPr>
          <w:rFonts w:ascii="Times New Roman" w:eastAsia="Times New Roman" w:hAnsi="Times New Roman" w:cs="Times New Roman"/>
          <w:color w:val="000000"/>
          <w:kern w:val="0"/>
          <w14:ligatures w14:val="none"/>
        </w:rPr>
        <w:t>Curvas idiopáticas, congênitas, neuromusculares e sindrômicas podem parecer semelhantes em uma radiografia, mas apresentam histórias naturais diferentes. Definir a etiologia antes de escolher o tratamento ajuda a estimar progressão, procurar doenças associadas e selecionar entre observação, tratamento conservador, técnica de crescimento ou artrodese.</w:t>
      </w:r>
    </w:p>
    <w:p w14:paraId="1C307E54" w14:textId="77777777" w:rsidR="003F0D51" w:rsidRPr="003F0D51" w:rsidRDefault="007369A9" w:rsidP="003F0D51">
      <w:pPr>
        <w:spacing w:after="0" w:line="240" w:lineRule="auto"/>
        <w:rPr>
          <w:rFonts w:ascii="Times New Roman" w:eastAsia="Times New Roman" w:hAnsi="Times New Roman" w:cs="Times New Roman"/>
          <w:kern w:val="0"/>
          <w14:ligatures w14:val="none"/>
        </w:rPr>
      </w:pPr>
      <w:r w:rsidRPr="007369A9">
        <w:rPr>
          <w:rFonts w:ascii="Times New Roman" w:eastAsia="Times New Roman" w:hAnsi="Times New Roman" w:cs="Times New Roman"/>
          <w:noProof/>
          <w:kern w:val="0"/>
        </w:rPr>
        <w:pict w14:anchorId="361399CD">
          <v:rect id="_x0000_i1027" style="width:0;height:1.5pt" o:hralign="center" o:hrstd="t" o:hr="t" fillcolor="#a0a0a0" stroked="f"/>
        </w:pict>
      </w:r>
    </w:p>
    <w:p w14:paraId="0B6B1311" w14:textId="77777777" w:rsidR="003F0D51" w:rsidRPr="003F0D51" w:rsidRDefault="003F0D51" w:rsidP="003F0D5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F0D51">
        <w:rPr>
          <w:rFonts w:ascii="Times New Roman" w:eastAsia="Times New Roman" w:hAnsi="Times New Roman" w:cs="Times New Roman"/>
          <w:b/>
          <w:bCs/>
          <w:color w:val="000000"/>
          <w:kern w:val="0"/>
          <w:sz w:val="36"/>
          <w:szCs w:val="36"/>
          <w14:ligatures w14:val="none"/>
        </w:rPr>
        <w:t>Card 3 — Pérola ou alerta</w:t>
      </w:r>
    </w:p>
    <w:p w14:paraId="25C72FA5" w14:textId="77777777" w:rsidR="003F0D51" w:rsidRPr="003F0D51" w:rsidRDefault="003F0D51" w:rsidP="003F0D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3F0D51">
        <w:rPr>
          <w:rFonts w:ascii="Times New Roman" w:eastAsia="Times New Roman" w:hAnsi="Times New Roman" w:cs="Times New Roman"/>
          <w:b/>
          <w:bCs/>
          <w:color w:val="000000"/>
          <w:kern w:val="0"/>
          <w:sz w:val="27"/>
          <w:szCs w:val="27"/>
          <w14:ligatures w14:val="none"/>
        </w:rPr>
        <w:t>Não trate apenas o Cobb</w:t>
      </w:r>
    </w:p>
    <w:p w14:paraId="657B96D2" w14:textId="77777777" w:rsidR="003F0D51" w:rsidRPr="003F0D51" w:rsidRDefault="003F0D51" w:rsidP="003F0D51">
      <w:pPr>
        <w:spacing w:before="100" w:beforeAutospacing="1" w:after="100" w:afterAutospacing="1" w:line="240" w:lineRule="auto"/>
        <w:rPr>
          <w:rFonts w:ascii="Times New Roman" w:eastAsia="Times New Roman" w:hAnsi="Times New Roman" w:cs="Times New Roman"/>
          <w:color w:val="000000"/>
          <w:kern w:val="0"/>
          <w14:ligatures w14:val="none"/>
        </w:rPr>
      </w:pPr>
      <w:r w:rsidRPr="003F0D51">
        <w:rPr>
          <w:rFonts w:ascii="Times New Roman" w:eastAsia="Times New Roman" w:hAnsi="Times New Roman" w:cs="Times New Roman"/>
          <w:color w:val="000000"/>
          <w:kern w:val="0"/>
          <w14:ligatures w14:val="none"/>
        </w:rPr>
        <w:t>A magnitude da curva é importante, mas não deve decidir isoladamente o tratamento. Velocidade de progressão, flexibilidade, crescimento remanescente, cifose, equilíbrio, condição pulmonar e etiologia podem modificar profundamente o significado clínico de uma mesma medida radiográfica.</w:t>
      </w:r>
    </w:p>
    <w:p w14:paraId="5155D3E0" w14:textId="77777777" w:rsidR="003F0D51" w:rsidRPr="003F0D51" w:rsidRDefault="007369A9" w:rsidP="003F0D51">
      <w:pPr>
        <w:spacing w:after="0" w:line="240" w:lineRule="auto"/>
        <w:rPr>
          <w:rFonts w:ascii="Times New Roman" w:eastAsia="Times New Roman" w:hAnsi="Times New Roman" w:cs="Times New Roman"/>
          <w:kern w:val="0"/>
          <w14:ligatures w14:val="none"/>
        </w:rPr>
      </w:pPr>
      <w:r w:rsidRPr="007369A9">
        <w:rPr>
          <w:rFonts w:ascii="Times New Roman" w:eastAsia="Times New Roman" w:hAnsi="Times New Roman" w:cs="Times New Roman"/>
          <w:noProof/>
          <w:kern w:val="0"/>
        </w:rPr>
        <w:pict w14:anchorId="3F366F91">
          <v:rect id="_x0000_i1026" style="width:0;height:1.5pt" o:hralign="center" o:hrstd="t" o:hr="t" fillcolor="#a0a0a0" stroked="f"/>
        </w:pict>
      </w:r>
    </w:p>
    <w:p w14:paraId="64AE0D31" w14:textId="77777777" w:rsidR="003F0D51" w:rsidRPr="003F0D51" w:rsidRDefault="003F0D51" w:rsidP="003F0D51">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3F0D51">
        <w:rPr>
          <w:rFonts w:ascii="Times New Roman" w:eastAsia="Times New Roman" w:hAnsi="Times New Roman" w:cs="Times New Roman"/>
          <w:b/>
          <w:bCs/>
          <w:color w:val="000000"/>
          <w:kern w:val="36"/>
          <w:sz w:val="48"/>
          <w:szCs w:val="48"/>
          <w14:ligatures w14:val="none"/>
        </w:rPr>
        <w:lastRenderedPageBreak/>
        <w:t>Referências bibliográficas</w:t>
      </w:r>
    </w:p>
    <w:p w14:paraId="338EBE62" w14:textId="77777777" w:rsidR="003F0D51" w:rsidRPr="003F0D51" w:rsidRDefault="003F0D51" w:rsidP="003F0D51">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0D51">
        <w:rPr>
          <w:rFonts w:ascii="Times New Roman" w:eastAsia="Times New Roman" w:hAnsi="Times New Roman" w:cs="Times New Roman"/>
          <w:color w:val="000000"/>
          <w:kern w:val="0"/>
          <w14:ligatures w14:val="none"/>
        </w:rPr>
        <w:t>Williams BA, Matsumoto H, McCalla DJ, Akbarnia BA, Blakemore LC, Betz RR, et al. Development and initial validation of the Classification of Early-Onset Scoliosis (C-EOS). J Bone Joint Surg Am. 2014;96(16):1359-67.</w:t>
      </w:r>
    </w:p>
    <w:p w14:paraId="062A9118" w14:textId="77777777" w:rsidR="003F0D51" w:rsidRPr="003F0D51" w:rsidRDefault="003F0D51" w:rsidP="003F0D51">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0D51">
        <w:rPr>
          <w:rFonts w:ascii="Times New Roman" w:eastAsia="Times New Roman" w:hAnsi="Times New Roman" w:cs="Times New Roman"/>
          <w:color w:val="000000"/>
          <w:kern w:val="0"/>
          <w14:ligatures w14:val="none"/>
        </w:rPr>
        <w:t>Ruiz G, Torres-Lugo NJ, Marrero-Ortiz P, Guzmán H, Olivella G, Ramírez N. Early-onset scoliosis: a narrative review. EFORT Open Rev. 2022;7(8):599-610.</w:t>
      </w:r>
    </w:p>
    <w:p w14:paraId="2A0CF0E1" w14:textId="77777777" w:rsidR="003F0D51" w:rsidRPr="003F0D51" w:rsidRDefault="003F0D51" w:rsidP="003F0D51">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0D51">
        <w:rPr>
          <w:rFonts w:ascii="Times New Roman" w:eastAsia="Times New Roman" w:hAnsi="Times New Roman" w:cs="Times New Roman"/>
          <w:color w:val="000000"/>
          <w:kern w:val="0"/>
          <w14:ligatures w14:val="none"/>
        </w:rPr>
        <w:t>Cetik RM, Yazici M. The hidden cost of growth-friendly treatment for early onset scoliosis. J Pediatr Orthop Soc North Am. 2022;4(4):577.</w:t>
      </w:r>
    </w:p>
    <w:p w14:paraId="4D81B331" w14:textId="77777777" w:rsidR="003F0D51" w:rsidRPr="003F0D51" w:rsidRDefault="003F0D51" w:rsidP="003F0D51">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0D51">
        <w:rPr>
          <w:rFonts w:ascii="Times New Roman" w:eastAsia="Times New Roman" w:hAnsi="Times New Roman" w:cs="Times New Roman"/>
          <w:color w:val="000000"/>
          <w:kern w:val="0"/>
          <w14:ligatures w14:val="none"/>
        </w:rPr>
        <w:t>Yang S, Andras LM, Redding GJ, Skaggs DL. Early-onset scoliosis: a review of history, current treatment, and future directions. Pediatrics. 2016;137(1).</w:t>
      </w:r>
    </w:p>
    <w:p w14:paraId="03C43546" w14:textId="77777777" w:rsidR="003F0D51" w:rsidRPr="003F0D51" w:rsidRDefault="003F0D51" w:rsidP="003F0D51">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0D51">
        <w:rPr>
          <w:rFonts w:ascii="Times New Roman" w:eastAsia="Times New Roman" w:hAnsi="Times New Roman" w:cs="Times New Roman"/>
          <w:color w:val="000000"/>
          <w:kern w:val="0"/>
          <w14:ligatures w14:val="none"/>
        </w:rPr>
        <w:t>Dimeglio A, Canavese F. The growing spine: how spinal deformities influence normal spine and thoracic cage growth. Eur Spine J. 2012;21(1):64-70.</w:t>
      </w:r>
    </w:p>
    <w:p w14:paraId="193C6313" w14:textId="77777777" w:rsidR="003F0D51" w:rsidRPr="003F0D51" w:rsidRDefault="003F0D51" w:rsidP="003F0D51">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0D51">
        <w:rPr>
          <w:rFonts w:ascii="Times New Roman" w:eastAsia="Times New Roman" w:hAnsi="Times New Roman" w:cs="Times New Roman"/>
          <w:color w:val="000000"/>
          <w:kern w:val="0"/>
          <w14:ligatures w14:val="none"/>
        </w:rPr>
        <w:t>Karol LA. The natural history of early-onset scoliosis. J Pediatr Orthop. 2019;39 Suppl 1:S38-43.</w:t>
      </w:r>
    </w:p>
    <w:p w14:paraId="3CB17C8F" w14:textId="77777777" w:rsidR="003F0D51" w:rsidRPr="003F0D51" w:rsidRDefault="003F0D51" w:rsidP="003F0D51">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0D51">
        <w:rPr>
          <w:rFonts w:ascii="Times New Roman" w:eastAsia="Times New Roman" w:hAnsi="Times New Roman" w:cs="Times New Roman"/>
          <w:color w:val="000000"/>
          <w:kern w:val="0"/>
          <w14:ligatures w14:val="none"/>
        </w:rPr>
        <w:t>Campbell RM, Smith MD, Mayes TC, Mangos JA, Willey-Courand DB, Kose N, et al. The characteristics of thoracic insufficiency syndrome associated with fused ribs and congenital scoliosis. J Bone Joint Surg Am. 2003;85(3):399-408.</w:t>
      </w:r>
    </w:p>
    <w:p w14:paraId="00045DAF" w14:textId="77777777" w:rsidR="003F0D51" w:rsidRPr="003F0D51" w:rsidRDefault="003F0D51" w:rsidP="003F0D51">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0D51">
        <w:rPr>
          <w:rFonts w:ascii="Times New Roman" w:eastAsia="Times New Roman" w:hAnsi="Times New Roman" w:cs="Times New Roman"/>
          <w:color w:val="000000"/>
          <w:kern w:val="0"/>
          <w14:ligatures w14:val="none"/>
        </w:rPr>
        <w:t>McMaster MJ, Ohtsuka K. The natural history of congenital scoliosis. A study of two hundred and fifty-one patients. J Bone Joint Surg Am. 1982;64(8):1128-47.</w:t>
      </w:r>
    </w:p>
    <w:p w14:paraId="428AACFC" w14:textId="77777777" w:rsidR="003F0D51" w:rsidRPr="003F0D51" w:rsidRDefault="003F0D51" w:rsidP="003F0D51">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0D51">
        <w:rPr>
          <w:rFonts w:ascii="Times New Roman" w:eastAsia="Times New Roman" w:hAnsi="Times New Roman" w:cs="Times New Roman"/>
          <w:color w:val="000000"/>
          <w:kern w:val="0"/>
          <w14:ligatures w14:val="none"/>
        </w:rPr>
        <w:t>Marks DS, Qaimkhani SA. The natural history of congenital scoliosis and kyphosis. Spine (Phila Pa 1976). 2009;34(17):1751-5.</w:t>
      </w:r>
    </w:p>
    <w:p w14:paraId="5D1B120B" w14:textId="77777777" w:rsidR="003F0D51" w:rsidRPr="003F0D51" w:rsidRDefault="003F0D51" w:rsidP="003F0D51">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0D51">
        <w:rPr>
          <w:rFonts w:ascii="Times New Roman" w:eastAsia="Times New Roman" w:hAnsi="Times New Roman" w:cs="Times New Roman"/>
          <w:color w:val="000000"/>
          <w:kern w:val="0"/>
          <w14:ligatures w14:val="none"/>
        </w:rPr>
        <w:t>Karaarslan UC, Gurel IE, Yucekul A, Demirkiran HG, Samdani A, Yilgor C, et al. Team approach: contemporary treatment of congenital scoliosis. JBJS Rev. 2019;7(10):e5-e5.</w:t>
      </w:r>
    </w:p>
    <w:p w14:paraId="7290172B" w14:textId="77777777" w:rsidR="003F0D51" w:rsidRPr="003F0D51" w:rsidRDefault="003F0D51" w:rsidP="003F0D51">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0D51">
        <w:rPr>
          <w:rFonts w:ascii="Times New Roman" w:eastAsia="Times New Roman" w:hAnsi="Times New Roman" w:cs="Times New Roman"/>
          <w:color w:val="000000"/>
          <w:kern w:val="0"/>
          <w14:ligatures w14:val="none"/>
        </w:rPr>
        <w:t>Rittler M, Paz JE, Castilla EE. VACTERL association, epidemiologic definition and delineation. Am J Med Genet. 1996;63(4):529-36.</w:t>
      </w:r>
    </w:p>
    <w:p w14:paraId="1CD5D166" w14:textId="77777777" w:rsidR="003F0D51" w:rsidRPr="003F0D51" w:rsidRDefault="003F0D51" w:rsidP="003F0D51">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0D51">
        <w:rPr>
          <w:rFonts w:ascii="Times New Roman" w:eastAsia="Times New Roman" w:hAnsi="Times New Roman" w:cs="Times New Roman"/>
          <w:color w:val="000000"/>
          <w:kern w:val="0"/>
          <w14:ligatures w14:val="none"/>
        </w:rPr>
        <w:t>Winter RB, Moe JH, Eilers VE. Congenital scoliosis. A study of 234 patients treated and untreated. Part I: natural history. J Bone Joint Surg. 1968;50(1):1-15.</w:t>
      </w:r>
    </w:p>
    <w:p w14:paraId="51CEE46F" w14:textId="77777777" w:rsidR="003F0D51" w:rsidRPr="003F0D51" w:rsidRDefault="003F0D51" w:rsidP="003F0D51">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0D51">
        <w:rPr>
          <w:rFonts w:ascii="Times New Roman" w:eastAsia="Times New Roman" w:hAnsi="Times New Roman" w:cs="Times New Roman"/>
          <w:color w:val="000000"/>
          <w:kern w:val="0"/>
          <w14:ligatures w14:val="none"/>
        </w:rPr>
        <w:t>McMaster MJ. Congenital scoliosis caused by a unilateral failure of vertebral segmentation with contralateral hemivertebrae. Spine (Phila Pa 1976). 1998;23(9):998-1005.</w:t>
      </w:r>
    </w:p>
    <w:p w14:paraId="091E60E0" w14:textId="77777777" w:rsidR="003F0D51" w:rsidRPr="003F0D51" w:rsidRDefault="003F0D51" w:rsidP="003F0D51">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0D51">
        <w:rPr>
          <w:rFonts w:ascii="Times New Roman" w:eastAsia="Times New Roman" w:hAnsi="Times New Roman" w:cs="Times New Roman"/>
          <w:color w:val="000000"/>
          <w:kern w:val="0"/>
          <w14:ligatures w14:val="none"/>
        </w:rPr>
        <w:t>Roberts SB, Tsirikos AI. Factors influencing the evaluation and management of neuromuscular scoliosis: a review of the literature. J Back Musculoskelet Rehabil. 2016;29(4):613-23.</w:t>
      </w:r>
    </w:p>
    <w:p w14:paraId="6D773016" w14:textId="77777777" w:rsidR="003F0D51" w:rsidRPr="003F0D51" w:rsidRDefault="003F0D51" w:rsidP="003F0D51">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0D51">
        <w:rPr>
          <w:rFonts w:ascii="Times New Roman" w:eastAsia="Times New Roman" w:hAnsi="Times New Roman" w:cs="Times New Roman"/>
          <w:color w:val="000000"/>
          <w:kern w:val="0"/>
          <w14:ligatures w14:val="none"/>
        </w:rPr>
        <w:t>Daniel M, Weigl MD. Scoliosis in non-ambulatory cerebral palsy: challenges and management. Isr Med Assoc J. 2019;21(11):752-5.</w:t>
      </w:r>
    </w:p>
    <w:p w14:paraId="107CBD79" w14:textId="77777777" w:rsidR="003F0D51" w:rsidRPr="003F0D51" w:rsidRDefault="003F0D51" w:rsidP="003F0D51">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0D51">
        <w:rPr>
          <w:rFonts w:ascii="Times New Roman" w:eastAsia="Times New Roman" w:hAnsi="Times New Roman" w:cs="Times New Roman"/>
          <w:color w:val="000000"/>
          <w:kern w:val="0"/>
          <w14:ligatures w14:val="none"/>
        </w:rPr>
        <w:t>El-Hawary R, Chukwunyerenwa C. Update on evaluation and treatment of scoliosis. Pediatr Clin North Am. 2014;61(6):1223-41.</w:t>
      </w:r>
    </w:p>
    <w:p w14:paraId="1C7D79A4" w14:textId="77777777" w:rsidR="003F0D51" w:rsidRPr="003F0D51" w:rsidRDefault="003F0D51" w:rsidP="003F0D51">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0D51">
        <w:rPr>
          <w:rFonts w:ascii="Times New Roman" w:eastAsia="Times New Roman" w:hAnsi="Times New Roman" w:cs="Times New Roman"/>
          <w:color w:val="000000"/>
          <w:kern w:val="0"/>
          <w14:ligatures w14:val="none"/>
        </w:rPr>
        <w:t>Studer D, Hasler CC. Diagnostic and therapeutic strategies in early onset scoliosis: a current concept review. J Child Orthop. 2024;18(2):113-23.</w:t>
      </w:r>
    </w:p>
    <w:p w14:paraId="14B04247" w14:textId="77777777" w:rsidR="003F0D51" w:rsidRPr="003F0D51" w:rsidRDefault="003F0D51" w:rsidP="003F0D51">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0D51">
        <w:rPr>
          <w:rFonts w:ascii="Times New Roman" w:eastAsia="Times New Roman" w:hAnsi="Times New Roman" w:cs="Times New Roman"/>
          <w:color w:val="000000"/>
          <w:kern w:val="0"/>
          <w14:ligatures w14:val="none"/>
        </w:rPr>
        <w:t>Dragsted C, Ohrt-Nissen S, Hallager DW, Tøndevold N, Andersen T, Dahl B, et al. Reproducibility of the classification of early onset scoliosis (C-EOS). Spine Deform. 2020;8(2):285-93.</w:t>
      </w:r>
    </w:p>
    <w:p w14:paraId="48EB4C06" w14:textId="77777777" w:rsidR="003F0D51" w:rsidRPr="003F0D51" w:rsidRDefault="003F0D51" w:rsidP="003F0D51">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0D51">
        <w:rPr>
          <w:rFonts w:ascii="Times New Roman" w:eastAsia="Times New Roman" w:hAnsi="Times New Roman" w:cs="Times New Roman"/>
          <w:color w:val="000000"/>
          <w:kern w:val="0"/>
          <w14:ligatures w14:val="none"/>
        </w:rPr>
        <w:t>El-Hawary R, Chukwunyerenwa C. Update on evaluation and treatment of scoliosis. Pediatr Clin North Am. 2014;61(6):1223-41.</w:t>
      </w:r>
    </w:p>
    <w:p w14:paraId="05D05ECC" w14:textId="77777777" w:rsidR="003F0D51" w:rsidRPr="003F0D51" w:rsidRDefault="003F0D51" w:rsidP="003F0D51">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0D51">
        <w:rPr>
          <w:rFonts w:ascii="Times New Roman" w:eastAsia="Times New Roman" w:hAnsi="Times New Roman" w:cs="Times New Roman"/>
          <w:color w:val="000000"/>
          <w:kern w:val="0"/>
          <w14:ligatures w14:val="none"/>
        </w:rPr>
        <w:lastRenderedPageBreak/>
        <w:t>Cyr M, Hilaire T St, Pan Z, Thompson GH, Vitale MG, Garg S. Classification of early onset scoliosis has excellent interobserver and intraobserver reliability. J Pediatr Orthop. 2017;37(1):e1-3.</w:t>
      </w:r>
    </w:p>
    <w:p w14:paraId="25D158B5" w14:textId="77777777" w:rsidR="003F0D51" w:rsidRPr="003F0D51" w:rsidRDefault="003F0D51" w:rsidP="003F0D51">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0D51">
        <w:rPr>
          <w:rFonts w:ascii="Times New Roman" w:eastAsia="Times New Roman" w:hAnsi="Times New Roman" w:cs="Times New Roman"/>
          <w:color w:val="000000"/>
          <w:kern w:val="0"/>
          <w14:ligatures w14:val="none"/>
        </w:rPr>
        <w:t>Foley G, Aubin CE, Parent S, Labelle H, d’Astous J, Johnston C, et al. Physical significance of the rib vertebra angle difference and its 3-dimensional counterpart in early-onset scoliosis. Spine Deform. 2013;1(4):259-65.</w:t>
      </w:r>
    </w:p>
    <w:p w14:paraId="6B44CBC0" w14:textId="77777777" w:rsidR="003F0D51" w:rsidRPr="003F0D51" w:rsidRDefault="003F0D51" w:rsidP="003F0D51">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0D51">
        <w:rPr>
          <w:rFonts w:ascii="Times New Roman" w:eastAsia="Times New Roman" w:hAnsi="Times New Roman" w:cs="Times New Roman"/>
          <w:color w:val="000000"/>
          <w:kern w:val="0"/>
          <w14:ligatures w14:val="none"/>
        </w:rPr>
        <w:t>Mehta MH. The rib-vertebra angle in the early diagnosis between resolving and progressive infantile scoliosis. J Bone Joint Surg Br. 1972;54(2):230-43.</w:t>
      </w:r>
    </w:p>
    <w:p w14:paraId="49498733" w14:textId="77777777" w:rsidR="003F0D51" w:rsidRPr="003F0D51" w:rsidRDefault="003F0D51" w:rsidP="003F0D51">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0D51">
        <w:rPr>
          <w:rFonts w:ascii="Times New Roman" w:eastAsia="Times New Roman" w:hAnsi="Times New Roman" w:cs="Times New Roman"/>
          <w:color w:val="000000"/>
          <w:kern w:val="0"/>
          <w14:ligatures w14:val="none"/>
        </w:rPr>
        <w:t>Mackel CE, Jada A, Samdani AF, Stephen JH, Bennett JT, Baaj AA, et al. A comprehensive review of the diagnosis and management of congenital scoliosis. Childs Nerv Syst. 2018;34(11):2155-71.</w:t>
      </w:r>
    </w:p>
    <w:p w14:paraId="24D49282" w14:textId="77777777" w:rsidR="003F0D51" w:rsidRPr="003F0D51" w:rsidRDefault="003F0D51" w:rsidP="003F0D51">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0D51">
        <w:rPr>
          <w:rFonts w:ascii="Times New Roman" w:eastAsia="Times New Roman" w:hAnsi="Times New Roman" w:cs="Times New Roman"/>
          <w:color w:val="000000"/>
          <w:kern w:val="0"/>
          <w14:ligatures w14:val="none"/>
        </w:rPr>
        <w:t>Rajasekaran S, Kamath V, Kiran R, Shetty AP. Intraspinal anomalies in scoliosis: an MRI analysis of 177 consecutive scoliosis patients. Indian J Orthop. 2010;44(1):57-63.</w:t>
      </w:r>
    </w:p>
    <w:p w14:paraId="0A055D0C" w14:textId="77777777" w:rsidR="003F0D51" w:rsidRPr="003F0D51" w:rsidRDefault="003F0D51" w:rsidP="003F0D51">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0D51">
        <w:rPr>
          <w:rFonts w:ascii="Times New Roman" w:eastAsia="Times New Roman" w:hAnsi="Times New Roman" w:cs="Times New Roman"/>
          <w:color w:val="000000"/>
          <w:kern w:val="0"/>
          <w14:ligatures w14:val="none"/>
        </w:rPr>
        <w:t>Zhang W, Sha S, Xu L, Liu Z, Qiu Y, Zhu Z. The prevalence of intraspinal anomalies in infantile and juvenile patients with “presumed idiopathic” scoliosis: an MRI-based analysis of 504 patients. BMC Musculoskelet Disord. 2016;17(1):189.</w:t>
      </w:r>
    </w:p>
    <w:p w14:paraId="0ACF4458" w14:textId="77777777" w:rsidR="003F0D51" w:rsidRPr="003F0D51" w:rsidRDefault="003F0D51" w:rsidP="003F0D51">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0D51">
        <w:rPr>
          <w:rFonts w:ascii="Times New Roman" w:eastAsia="Times New Roman" w:hAnsi="Times New Roman" w:cs="Times New Roman"/>
          <w:color w:val="000000"/>
          <w:kern w:val="0"/>
          <w14:ligatures w14:val="none"/>
        </w:rPr>
        <w:t>Tan LA, Yerneni K, Tuchman A, Li XJ, Cerpa M, Lehman Jr RA, et al. Utilization of the 3D-printed spine model for freehand pedicle screw placement in complex spinal deformity correction. J Spine Surg. 2018;4(2):319-27.</w:t>
      </w:r>
    </w:p>
    <w:p w14:paraId="4C7D932C" w14:textId="77777777" w:rsidR="003F0D51" w:rsidRPr="003F0D51" w:rsidRDefault="003F0D51" w:rsidP="003F0D51">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0D51">
        <w:rPr>
          <w:rFonts w:ascii="Times New Roman" w:eastAsia="Times New Roman" w:hAnsi="Times New Roman" w:cs="Times New Roman"/>
          <w:color w:val="000000"/>
          <w:kern w:val="0"/>
          <w14:ligatures w14:val="none"/>
        </w:rPr>
        <w:t>Garg B, Gupta M, Singh M, Kalyanasundaram D. Outcome and safety analysis of 3D-printed patient-specific pedicle screw jigs for complex spinal deformities: a comparative study. Spine J. 2019;19(1):56-64.</w:t>
      </w:r>
    </w:p>
    <w:p w14:paraId="0883E976" w14:textId="77777777" w:rsidR="003F0D51" w:rsidRPr="003F0D51" w:rsidRDefault="003F0D51" w:rsidP="003F0D51">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0D51">
        <w:rPr>
          <w:rFonts w:ascii="Times New Roman" w:eastAsia="Times New Roman" w:hAnsi="Times New Roman" w:cs="Times New Roman"/>
          <w:color w:val="000000"/>
          <w:kern w:val="0"/>
          <w14:ligatures w14:val="none"/>
        </w:rPr>
        <w:t>Hardesty CK, Huang RP, El-Hawary R, Samdani A, Hermida PB, Bas T, et al. Early-onset scoliosis: updated treatment techniques and results. Spine Deform. 2018;6(4):467-72.</w:t>
      </w:r>
    </w:p>
    <w:p w14:paraId="47A00B9D" w14:textId="77777777" w:rsidR="003F0D51" w:rsidRPr="003F0D51" w:rsidRDefault="003F0D51" w:rsidP="003F0D51">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0D51">
        <w:rPr>
          <w:rFonts w:ascii="Times New Roman" w:eastAsia="Times New Roman" w:hAnsi="Times New Roman" w:cs="Times New Roman"/>
          <w:color w:val="000000"/>
          <w:kern w:val="0"/>
          <w14:ligatures w14:val="none"/>
        </w:rPr>
        <w:t>Baulesh DM, Huh J, Judkins T, Garg S, Miller NH, Erickson MA. The role of serial casting in early-onset scoliosis (EOS). J Pediatr Orthop. 2012;32(7):658-63.</w:t>
      </w:r>
    </w:p>
    <w:p w14:paraId="61EA6544" w14:textId="77777777" w:rsidR="003F0D51" w:rsidRPr="003F0D51" w:rsidRDefault="003F0D51" w:rsidP="003F0D51">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0D51">
        <w:rPr>
          <w:rFonts w:ascii="Times New Roman" w:eastAsia="Times New Roman" w:hAnsi="Times New Roman" w:cs="Times New Roman"/>
          <w:color w:val="000000"/>
          <w:kern w:val="0"/>
          <w14:ligatures w14:val="none"/>
        </w:rPr>
        <w:t>Varley ES, Pawelek JB, Mundis GM, Oetgen ME, Sturm PF, Akbarnia BA, et al. The role of traditional growing rods in the era of magnetically controlled growing rods for the treatment of early-onset scoliosis. Spine Deform. 2021 Apr 19.</w:t>
      </w:r>
    </w:p>
    <w:p w14:paraId="783BDCBB" w14:textId="77777777" w:rsidR="003F0D51" w:rsidRPr="003F0D51" w:rsidRDefault="003F0D51" w:rsidP="003F0D51">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0D51">
        <w:rPr>
          <w:rFonts w:ascii="Times New Roman" w:eastAsia="Times New Roman" w:hAnsi="Times New Roman" w:cs="Times New Roman"/>
          <w:color w:val="000000"/>
          <w:kern w:val="0"/>
          <w14:ligatures w14:val="none"/>
        </w:rPr>
        <w:t>Smith JR, Samdani AF, Pahys J, Ranade A, Asghar J, Cahill P, et al. The role of bracing, casting, and vertical expandable prosthetic titanium rib for the treatment of infantile idiopathic scoliosis: a single-institution experience with 31 consecutive patients. J Neurosurg Spine. 2009;11(1):3-8.</w:t>
      </w:r>
    </w:p>
    <w:p w14:paraId="2B8FFBE1" w14:textId="77777777" w:rsidR="003F0D51" w:rsidRPr="003F0D51" w:rsidRDefault="003F0D51" w:rsidP="003F0D51">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0D51">
        <w:rPr>
          <w:rFonts w:ascii="Times New Roman" w:eastAsia="Times New Roman" w:hAnsi="Times New Roman" w:cs="Times New Roman"/>
          <w:color w:val="000000"/>
          <w:kern w:val="0"/>
          <w14:ligatures w14:val="none"/>
        </w:rPr>
        <w:t>Ashebo L, Anari JB, Cahill PJ. Update on the diagnosis and management of early-onset scoliosis. Curr Rev Musculoskelet Med. 2023;16(10):447-56.</w:t>
      </w:r>
    </w:p>
    <w:p w14:paraId="4DBEA9A6" w14:textId="77777777" w:rsidR="003F0D51" w:rsidRPr="003F0D51" w:rsidRDefault="003F0D51" w:rsidP="003F0D51">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0D51">
        <w:rPr>
          <w:rFonts w:ascii="Times New Roman" w:eastAsia="Times New Roman" w:hAnsi="Times New Roman" w:cs="Times New Roman"/>
          <w:color w:val="000000"/>
          <w:kern w:val="0"/>
          <w14:ligatures w14:val="none"/>
        </w:rPr>
        <w:t>Hughes MS, Swarup I, Makarewich CA, Williams BA, Talwar D, Cahill PJ, et al. Expert consensus for early onset scoliosis surgery. J Pediatr Orthop. 2020;40(7):e621-8.</w:t>
      </w:r>
    </w:p>
    <w:p w14:paraId="267F2703" w14:textId="77777777" w:rsidR="003F0D51" w:rsidRPr="003F0D51" w:rsidRDefault="003F0D51" w:rsidP="003F0D51">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0D51">
        <w:rPr>
          <w:rFonts w:ascii="Times New Roman" w:eastAsia="Times New Roman" w:hAnsi="Times New Roman" w:cs="Times New Roman"/>
          <w:color w:val="000000"/>
          <w:kern w:val="0"/>
          <w14:ligatures w14:val="none"/>
        </w:rPr>
        <w:t>Helenius IJ. Standard and magnetically controlled growing rods for the treatment of early onset scoliosis. Ann Transl Med. 2020;8(2):26.</w:t>
      </w:r>
    </w:p>
    <w:p w14:paraId="77087288" w14:textId="77777777" w:rsidR="003F0D51" w:rsidRPr="003F0D51" w:rsidRDefault="003F0D51" w:rsidP="003F0D51">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0D51">
        <w:rPr>
          <w:rFonts w:ascii="Times New Roman" w:eastAsia="Times New Roman" w:hAnsi="Times New Roman" w:cs="Times New Roman"/>
          <w:color w:val="000000"/>
          <w:kern w:val="0"/>
          <w14:ligatures w14:val="none"/>
        </w:rPr>
        <w:t>Hosseini P, Pawelek J, Mundis GM, Yaszay B, Ferguson J, Helenius I, et al. Magnetically controlled growing rods for early-onset scoliosis. Spine (Phila Pa 1976). 2016;41(18):1456-62.</w:t>
      </w:r>
    </w:p>
    <w:p w14:paraId="1A1EC072" w14:textId="77777777" w:rsidR="003F0D51" w:rsidRPr="003F0D51" w:rsidRDefault="003F0D51" w:rsidP="003F0D51">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0D51">
        <w:rPr>
          <w:rFonts w:ascii="Times New Roman" w:eastAsia="Times New Roman" w:hAnsi="Times New Roman" w:cs="Times New Roman"/>
          <w:color w:val="000000"/>
          <w:kern w:val="0"/>
          <w14:ligatures w14:val="none"/>
        </w:rPr>
        <w:t>Bowen M, Desai V, Anari JB, Cahill PJ. Evaluation and treatment of thoracic insufficiency syndrome and early-onset scoliosis. J Clin Med. 2025;14(3):753.</w:t>
      </w:r>
    </w:p>
    <w:p w14:paraId="28C9A49D" w14:textId="77777777" w:rsidR="003F0D51" w:rsidRPr="003F0D51" w:rsidRDefault="003F0D51" w:rsidP="003F0D51">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0D51">
        <w:rPr>
          <w:rFonts w:ascii="Times New Roman" w:eastAsia="Times New Roman" w:hAnsi="Times New Roman" w:cs="Times New Roman"/>
          <w:color w:val="000000"/>
          <w:kern w:val="0"/>
          <w14:ligatures w14:val="none"/>
        </w:rPr>
        <w:lastRenderedPageBreak/>
        <w:t>Almajali A, Obeidat M, Bashmaf O, Wagokh R, Harahsheh B, Alzaben R. Early childhood scoliosis management by vertical expandable prosthetic titanium rib (VEPTR): experience of Royal Medical Services (RMS). Med Arch. 2020;74(6):433.</w:t>
      </w:r>
    </w:p>
    <w:p w14:paraId="5ABCF4A6" w14:textId="77777777" w:rsidR="003F0D51" w:rsidRPr="003F0D51" w:rsidRDefault="003F0D51" w:rsidP="003F0D51">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0D51">
        <w:rPr>
          <w:rFonts w:ascii="Times New Roman" w:eastAsia="Times New Roman" w:hAnsi="Times New Roman" w:cs="Times New Roman"/>
          <w:color w:val="000000"/>
          <w:kern w:val="0"/>
          <w14:ligatures w14:val="none"/>
        </w:rPr>
        <w:t>McCarthy RE, Luhmann S, Lenke L, McCullough FL. The Shilla Growth Guidance Technique for early-onset spinal deformities at 2-year follow-up. J Pediatr Orthop. 2014;34(1):1-7.</w:t>
      </w:r>
    </w:p>
    <w:p w14:paraId="1E026770" w14:textId="77777777" w:rsidR="003F0D51" w:rsidRPr="003F0D51" w:rsidRDefault="003F0D51" w:rsidP="003F0D51">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0D51">
        <w:rPr>
          <w:rFonts w:ascii="Times New Roman" w:eastAsia="Times New Roman" w:hAnsi="Times New Roman" w:cs="Times New Roman"/>
          <w:color w:val="000000"/>
          <w:kern w:val="0"/>
          <w14:ligatures w14:val="none"/>
        </w:rPr>
        <w:t>Haapala H, Saarinen AJ, Salonen A, Helenius I. Shilla Growth Guidance compared with magnetically controlled growing rods in the treatment of neuromuscular and syndromic early-onset scoliosis. Spine (Phila Pa 1976). 2020;45(23):E1604-14.</w:t>
      </w:r>
    </w:p>
    <w:p w14:paraId="5D46F313" w14:textId="77777777" w:rsidR="003F0D51" w:rsidRPr="003F0D51" w:rsidRDefault="003F0D51" w:rsidP="003F0D51">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0D51">
        <w:rPr>
          <w:rFonts w:ascii="Times New Roman" w:eastAsia="Times New Roman" w:hAnsi="Times New Roman" w:cs="Times New Roman"/>
          <w:color w:val="000000"/>
          <w:kern w:val="0"/>
          <w14:ligatures w14:val="none"/>
        </w:rPr>
        <w:t>Johnson AN, Lark RK. Current concepts in the treatment of early onset scoliosis. J Clin Med. 2024;13(15):4472.</w:t>
      </w:r>
    </w:p>
    <w:p w14:paraId="7443DBBC" w14:textId="77777777" w:rsidR="003F0D51" w:rsidRPr="003F0D51" w:rsidRDefault="007369A9" w:rsidP="003F0D51">
      <w:pPr>
        <w:spacing w:after="0" w:line="240" w:lineRule="auto"/>
        <w:rPr>
          <w:rFonts w:ascii="Times New Roman" w:eastAsia="Times New Roman" w:hAnsi="Times New Roman" w:cs="Times New Roman"/>
          <w:kern w:val="0"/>
          <w14:ligatures w14:val="none"/>
        </w:rPr>
      </w:pPr>
      <w:r w:rsidRPr="007369A9">
        <w:rPr>
          <w:rFonts w:ascii="Times New Roman" w:eastAsia="Times New Roman" w:hAnsi="Times New Roman" w:cs="Times New Roman"/>
          <w:noProof/>
          <w:kern w:val="0"/>
        </w:rPr>
        <w:pict w14:anchorId="3EFE0061">
          <v:rect id="_x0000_i1025" style="width:0;height:1.5pt" o:hralign="center" o:hrstd="t" o:hr="t" fillcolor="#a0a0a0" stroked="f"/>
        </w:pict>
      </w:r>
    </w:p>
    <w:p w14:paraId="6A51B235" w14:textId="77777777" w:rsidR="003F0D51" w:rsidRPr="003F0D51" w:rsidRDefault="003F0D51" w:rsidP="003F0D51">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3F0D51">
        <w:rPr>
          <w:rFonts w:ascii="Times New Roman" w:eastAsia="Times New Roman" w:hAnsi="Times New Roman" w:cs="Times New Roman"/>
          <w:b/>
          <w:bCs/>
          <w:color w:val="000000"/>
          <w:kern w:val="36"/>
          <w:sz w:val="48"/>
          <w:szCs w:val="48"/>
          <w14:ligatures w14:val="none"/>
        </w:rPr>
        <w:t>Metadados para publicação</w:t>
      </w:r>
    </w:p>
    <w:p w14:paraId="5B2E7F48" w14:textId="77777777" w:rsidR="003F0D51" w:rsidRPr="003F0D51" w:rsidRDefault="003F0D51" w:rsidP="003F0D51">
      <w:pPr>
        <w:spacing w:before="100" w:beforeAutospacing="1" w:after="100" w:afterAutospacing="1" w:line="240" w:lineRule="auto"/>
        <w:rPr>
          <w:rFonts w:ascii="Times New Roman" w:eastAsia="Times New Roman" w:hAnsi="Times New Roman" w:cs="Times New Roman"/>
          <w:color w:val="000000"/>
          <w:kern w:val="0"/>
          <w14:ligatures w14:val="none"/>
        </w:rPr>
      </w:pPr>
      <w:r w:rsidRPr="003F0D51">
        <w:rPr>
          <w:rFonts w:ascii="Times New Roman" w:eastAsia="Times New Roman" w:hAnsi="Times New Roman" w:cs="Times New Roman"/>
          <w:b/>
          <w:bCs/>
          <w:color w:val="000000"/>
          <w:kern w:val="0"/>
          <w14:ligatures w14:val="none"/>
        </w:rPr>
        <w:t>Título SEO:</w:t>
      </w:r>
      <w:r w:rsidRPr="003F0D51">
        <w:rPr>
          <w:rFonts w:ascii="Times New Roman" w:eastAsia="Times New Roman" w:hAnsi="Times New Roman" w:cs="Times New Roman"/>
          <w:color w:val="000000"/>
          <w:kern w:val="0"/>
          <w14:ligatures w14:val="none"/>
        </w:rPr>
        <w:t> Escoliose de início precoce | Tratado</w:t>
      </w:r>
    </w:p>
    <w:p w14:paraId="21D5D9CE" w14:textId="77777777" w:rsidR="003F0D51" w:rsidRPr="003F0D51" w:rsidRDefault="003F0D51" w:rsidP="003F0D51">
      <w:pPr>
        <w:spacing w:before="100" w:beforeAutospacing="1" w:after="100" w:afterAutospacing="1" w:line="240" w:lineRule="auto"/>
        <w:rPr>
          <w:rFonts w:ascii="Times New Roman" w:eastAsia="Times New Roman" w:hAnsi="Times New Roman" w:cs="Times New Roman"/>
          <w:color w:val="000000"/>
          <w:kern w:val="0"/>
          <w14:ligatures w14:val="none"/>
        </w:rPr>
      </w:pPr>
      <w:r w:rsidRPr="003F0D51">
        <w:rPr>
          <w:rFonts w:ascii="Times New Roman" w:eastAsia="Times New Roman" w:hAnsi="Times New Roman" w:cs="Times New Roman"/>
          <w:b/>
          <w:bCs/>
          <w:color w:val="000000"/>
          <w:kern w:val="0"/>
          <w14:ligatures w14:val="none"/>
        </w:rPr>
        <w:t>Meta descrição:</w:t>
      </w:r>
      <w:r w:rsidRPr="003F0D51">
        <w:rPr>
          <w:rFonts w:ascii="Times New Roman" w:eastAsia="Times New Roman" w:hAnsi="Times New Roman" w:cs="Times New Roman"/>
          <w:color w:val="000000"/>
          <w:kern w:val="0"/>
          <w14:ligatures w14:val="none"/>
        </w:rPr>
        <w:t> Entenda etiologia, diagnóstico e tratamento da escoliose de início precoce, com foco no crescimento da coluna, do tórax e dos pulmões.</w:t>
      </w:r>
    </w:p>
    <w:p w14:paraId="241175DA" w14:textId="77777777" w:rsidR="003F0D51" w:rsidRPr="003F0D51" w:rsidRDefault="003F0D51" w:rsidP="003F0D51">
      <w:pPr>
        <w:spacing w:before="100" w:beforeAutospacing="1" w:after="100" w:afterAutospacing="1" w:line="240" w:lineRule="auto"/>
        <w:rPr>
          <w:rFonts w:ascii="Times New Roman" w:eastAsia="Times New Roman" w:hAnsi="Times New Roman" w:cs="Times New Roman"/>
          <w:color w:val="000000"/>
          <w:kern w:val="0"/>
          <w14:ligatures w14:val="none"/>
        </w:rPr>
      </w:pPr>
      <w:r w:rsidRPr="003F0D51">
        <w:rPr>
          <w:rFonts w:ascii="Times New Roman" w:eastAsia="Times New Roman" w:hAnsi="Times New Roman" w:cs="Times New Roman"/>
          <w:b/>
          <w:bCs/>
          <w:color w:val="000000"/>
          <w:kern w:val="0"/>
          <w14:ligatures w14:val="none"/>
        </w:rPr>
        <w:t>Resumo de chamada:</w:t>
      </w:r>
      <w:r w:rsidRPr="003F0D51">
        <w:rPr>
          <w:rFonts w:ascii="Times New Roman" w:eastAsia="Times New Roman" w:hAnsi="Times New Roman" w:cs="Times New Roman"/>
          <w:color w:val="000000"/>
          <w:kern w:val="0"/>
          <w14:ligatures w14:val="none"/>
        </w:rPr>
        <w:t> Fundamentos da escoliose de início precoce, integrando etiologia, progressão, crescimento torácico, diagnóstico e estratégias conservadoras, growth-friendly e definitivas.</w:t>
      </w:r>
    </w:p>
    <w:p w14:paraId="4CE2E0A5" w14:textId="77777777" w:rsidR="003F0D51" w:rsidRPr="003F0D51" w:rsidRDefault="003F0D51" w:rsidP="003F0D51">
      <w:pPr>
        <w:spacing w:before="100" w:beforeAutospacing="1" w:after="100" w:afterAutospacing="1" w:line="240" w:lineRule="auto"/>
        <w:rPr>
          <w:rFonts w:ascii="Times New Roman" w:eastAsia="Times New Roman" w:hAnsi="Times New Roman" w:cs="Times New Roman"/>
          <w:color w:val="000000"/>
          <w:kern w:val="0"/>
          <w14:ligatures w14:val="none"/>
        </w:rPr>
      </w:pPr>
      <w:r w:rsidRPr="003F0D51">
        <w:rPr>
          <w:rFonts w:ascii="Times New Roman" w:eastAsia="Times New Roman" w:hAnsi="Times New Roman" w:cs="Times New Roman"/>
          <w:b/>
          <w:bCs/>
          <w:color w:val="000000"/>
          <w:kern w:val="0"/>
          <w14:ligatures w14:val="none"/>
        </w:rPr>
        <w:t>Sugestão de slug:</w:t>
      </w:r>
      <w:r w:rsidRPr="003F0D51">
        <w:rPr>
          <w:rFonts w:ascii="Times New Roman" w:eastAsia="Times New Roman" w:hAnsi="Times New Roman" w:cs="Times New Roman"/>
          <w:color w:val="000000"/>
          <w:kern w:val="0"/>
          <w14:ligatures w14:val="none"/>
        </w:rPr>
        <w:t> </w:t>
      </w:r>
      <w:r w:rsidRPr="003F0D51">
        <w:rPr>
          <w:rFonts w:ascii="Courier New" w:eastAsia="Times New Roman" w:hAnsi="Courier New" w:cs="Courier New"/>
          <w:color w:val="000000"/>
          <w:kern w:val="0"/>
          <w:sz w:val="20"/>
          <w:szCs w:val="20"/>
          <w14:ligatures w14:val="none"/>
        </w:rPr>
        <w:t>escoliose-de-inicio-precoce</w:t>
      </w:r>
    </w:p>
    <w:p w14:paraId="1DDA343E" w14:textId="77777777" w:rsidR="003F0D51" w:rsidRDefault="003F0D51"/>
    <w:sectPr w:rsidR="003F0D5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6283B31"/>
    <w:multiLevelType w:val="multilevel"/>
    <w:tmpl w:val="27AC6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66837E9"/>
    <w:multiLevelType w:val="multilevel"/>
    <w:tmpl w:val="5D782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7BA0E56"/>
    <w:multiLevelType w:val="multilevel"/>
    <w:tmpl w:val="45320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091016">
    <w:abstractNumId w:val="2"/>
  </w:num>
  <w:num w:numId="2" w16cid:durableId="1001471411">
    <w:abstractNumId w:val="0"/>
  </w:num>
  <w:num w:numId="3" w16cid:durableId="924218932">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0D51"/>
    <w:rsid w:val="003F0D51"/>
    <w:rsid w:val="007369A9"/>
    <w:rsid w:val="00DB5164"/>
  </w:rsids>
  <m:mathPr>
    <m:mathFont m:val="Cambria Math"/>
    <m:brkBin m:val="before"/>
    <m:brkBinSub m:val="--"/>
    <m:smallFrac m:val="0"/>
    <m:dispDef/>
    <m:lMargin m:val="0"/>
    <m:rMargin m:val="0"/>
    <m:defJc m:val="centerGroup"/>
    <m:wrapIndent m:val="1440"/>
    <m:intLim m:val="subSup"/>
    <m:naryLim m:val="undOvr"/>
  </m:mathPr>
  <w:themeFontLang w:val="en-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8BC6E0"/>
  <w15:chartTrackingRefBased/>
  <w15:docId w15:val="{83398D69-B630-294E-9DFE-A9DE396F18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0D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F0D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F0D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0D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0D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0D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0D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0D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0D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0D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F0D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F0D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0D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0D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0D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0D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0D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0D51"/>
    <w:rPr>
      <w:rFonts w:eastAsiaTheme="majorEastAsia" w:cstheme="majorBidi"/>
      <w:color w:val="272727" w:themeColor="text1" w:themeTint="D8"/>
    </w:rPr>
  </w:style>
  <w:style w:type="paragraph" w:styleId="Title">
    <w:name w:val="Title"/>
    <w:basedOn w:val="Normal"/>
    <w:next w:val="Normal"/>
    <w:link w:val="TitleChar"/>
    <w:uiPriority w:val="10"/>
    <w:qFormat/>
    <w:rsid w:val="003F0D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0D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0D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0D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0D51"/>
    <w:pPr>
      <w:spacing w:before="160"/>
      <w:jc w:val="center"/>
    </w:pPr>
    <w:rPr>
      <w:i/>
      <w:iCs/>
      <w:color w:val="404040" w:themeColor="text1" w:themeTint="BF"/>
    </w:rPr>
  </w:style>
  <w:style w:type="character" w:customStyle="1" w:styleId="QuoteChar">
    <w:name w:val="Quote Char"/>
    <w:basedOn w:val="DefaultParagraphFont"/>
    <w:link w:val="Quote"/>
    <w:uiPriority w:val="29"/>
    <w:rsid w:val="003F0D51"/>
    <w:rPr>
      <w:i/>
      <w:iCs/>
      <w:color w:val="404040" w:themeColor="text1" w:themeTint="BF"/>
    </w:rPr>
  </w:style>
  <w:style w:type="paragraph" w:styleId="ListParagraph">
    <w:name w:val="List Paragraph"/>
    <w:basedOn w:val="Normal"/>
    <w:uiPriority w:val="34"/>
    <w:qFormat/>
    <w:rsid w:val="003F0D51"/>
    <w:pPr>
      <w:ind w:left="720"/>
      <w:contextualSpacing/>
    </w:pPr>
  </w:style>
  <w:style w:type="character" w:styleId="IntenseEmphasis">
    <w:name w:val="Intense Emphasis"/>
    <w:basedOn w:val="DefaultParagraphFont"/>
    <w:uiPriority w:val="21"/>
    <w:qFormat/>
    <w:rsid w:val="003F0D51"/>
    <w:rPr>
      <w:i/>
      <w:iCs/>
      <w:color w:val="0F4761" w:themeColor="accent1" w:themeShade="BF"/>
    </w:rPr>
  </w:style>
  <w:style w:type="paragraph" w:styleId="IntenseQuote">
    <w:name w:val="Intense Quote"/>
    <w:basedOn w:val="Normal"/>
    <w:next w:val="Normal"/>
    <w:link w:val="IntenseQuoteChar"/>
    <w:uiPriority w:val="30"/>
    <w:qFormat/>
    <w:rsid w:val="003F0D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0D51"/>
    <w:rPr>
      <w:i/>
      <w:iCs/>
      <w:color w:val="0F4761" w:themeColor="accent1" w:themeShade="BF"/>
    </w:rPr>
  </w:style>
  <w:style w:type="character" w:styleId="IntenseReference">
    <w:name w:val="Intense Reference"/>
    <w:basedOn w:val="DefaultParagraphFont"/>
    <w:uiPriority w:val="32"/>
    <w:qFormat/>
    <w:rsid w:val="003F0D51"/>
    <w:rPr>
      <w:b/>
      <w:bCs/>
      <w:smallCaps/>
      <w:color w:val="0F4761" w:themeColor="accent1" w:themeShade="BF"/>
      <w:spacing w:val="5"/>
    </w:rPr>
  </w:style>
  <w:style w:type="paragraph" w:styleId="NormalWeb">
    <w:name w:val="Normal (Web)"/>
    <w:basedOn w:val="Normal"/>
    <w:uiPriority w:val="99"/>
    <w:semiHidden/>
    <w:unhideWhenUsed/>
    <w:rsid w:val="003F0D5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F0D51"/>
    <w:rPr>
      <w:b/>
      <w:bCs/>
    </w:rPr>
  </w:style>
  <w:style w:type="character" w:customStyle="1" w:styleId="apple-converted-space">
    <w:name w:val="apple-converted-space"/>
    <w:basedOn w:val="DefaultParagraphFont"/>
    <w:rsid w:val="003F0D51"/>
  </w:style>
  <w:style w:type="character" w:styleId="Emphasis">
    <w:name w:val="Emphasis"/>
    <w:basedOn w:val="DefaultParagraphFont"/>
    <w:uiPriority w:val="20"/>
    <w:qFormat/>
    <w:rsid w:val="003F0D51"/>
    <w:rPr>
      <w:i/>
      <w:iCs/>
    </w:rPr>
  </w:style>
  <w:style w:type="character" w:styleId="Hyperlink">
    <w:name w:val="Hyperlink"/>
    <w:basedOn w:val="DefaultParagraphFont"/>
    <w:uiPriority w:val="99"/>
    <w:semiHidden/>
    <w:unhideWhenUsed/>
    <w:rsid w:val="003F0D51"/>
    <w:rPr>
      <w:color w:val="0000FF"/>
      <w:u w:val="single"/>
    </w:rPr>
  </w:style>
  <w:style w:type="character" w:styleId="HTMLCode">
    <w:name w:val="HTML Code"/>
    <w:basedOn w:val="DefaultParagraphFont"/>
    <w:uiPriority w:val="99"/>
    <w:semiHidden/>
    <w:unhideWhenUsed/>
    <w:rsid w:val="003F0D5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2426</Words>
  <Characters>15430</Characters>
  <Application>Microsoft Office Word</Application>
  <DocSecurity>0</DocSecurity>
  <Lines>275</Lines>
  <Paragraphs>127</Paragraphs>
  <ScaleCrop>false</ScaleCrop>
  <Company/>
  <LinksUpToDate>false</LinksUpToDate>
  <CharactersWithSpaces>17729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Marcelo Risso</dc:creator>
  <cp:keywords/>
  <dc:description/>
  <cp:lastModifiedBy>Marcelo Risso</cp:lastModifiedBy>
  <cp:revision>1</cp:revision>
  <dcterms:created xsi:type="dcterms:W3CDTF">2026-08-20T19:05:00Z</dcterms:created>
  <dcterms:modified xsi:type="dcterms:W3CDTF">2026-08-20T19:06:00Z</dcterms:modified>
</cp:coreProperties>
</file>