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B09A4" w14:textId="77777777" w:rsidR="00FE2D2D" w:rsidRPr="00FE2D2D" w:rsidRDefault="00FE2D2D" w:rsidP="00FE2D2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E2D2D">
        <w:rPr>
          <w:rFonts w:ascii="Times New Roman" w:eastAsia="Times New Roman" w:hAnsi="Times New Roman" w:cs="Times New Roman"/>
          <w:b/>
          <w:bCs/>
          <w:color w:val="000000"/>
          <w:kern w:val="36"/>
          <w:sz w:val="48"/>
          <w:szCs w:val="48"/>
          <w14:ligatures w14:val="none"/>
        </w:rPr>
        <w:t>Capítulo 30 — Escoliose Neuromuscular</w:t>
      </w:r>
    </w:p>
    <w:p w14:paraId="713DE1C5"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Identificação</w:t>
      </w:r>
    </w:p>
    <w:p w14:paraId="6E0B32E2" w14:textId="18BBA5F4"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b/>
          <w:bCs/>
          <w:color w:val="000000"/>
          <w:kern w:val="0"/>
          <w14:ligatures w14:val="none"/>
        </w:rPr>
        <w:t>Número do capítulo:</w:t>
      </w:r>
      <w:r w:rsidRPr="00FE2D2D">
        <w:rPr>
          <w:rFonts w:ascii="Times New Roman" w:eastAsia="Times New Roman" w:hAnsi="Times New Roman" w:cs="Times New Roman"/>
          <w:color w:val="000000"/>
          <w:kern w:val="0"/>
          <w14:ligatures w14:val="none"/>
        </w:rPr>
        <w:t> 30</w:t>
      </w:r>
      <w:r w:rsidRPr="00FE2D2D">
        <w:rPr>
          <w:rFonts w:ascii="Times New Roman" w:eastAsia="Times New Roman" w:hAnsi="Times New Roman" w:cs="Times New Roman"/>
          <w:color w:val="000000"/>
          <w:kern w:val="0"/>
          <w14:ligatures w14:val="none"/>
        </w:rPr>
        <w:br/>
      </w:r>
      <w:r w:rsidRPr="00FE2D2D">
        <w:rPr>
          <w:rFonts w:ascii="Times New Roman" w:eastAsia="Times New Roman" w:hAnsi="Times New Roman" w:cs="Times New Roman"/>
          <w:b/>
          <w:bCs/>
          <w:color w:val="000000"/>
          <w:kern w:val="0"/>
          <w14:ligatures w14:val="none"/>
        </w:rPr>
        <w:t>Título completo:</w:t>
      </w:r>
      <w:r w:rsidRPr="00FE2D2D">
        <w:rPr>
          <w:rFonts w:ascii="Times New Roman" w:eastAsia="Times New Roman" w:hAnsi="Times New Roman" w:cs="Times New Roman"/>
          <w:color w:val="000000"/>
          <w:kern w:val="0"/>
          <w14:ligatures w14:val="none"/>
        </w:rPr>
        <w:t> Escoliose Neuromuscular</w:t>
      </w:r>
      <w:r w:rsidRPr="00FE2D2D">
        <w:rPr>
          <w:rFonts w:ascii="Times New Roman" w:eastAsia="Times New Roman" w:hAnsi="Times New Roman" w:cs="Times New Roman"/>
          <w:color w:val="000000"/>
          <w:kern w:val="0"/>
          <w14:ligatures w14:val="none"/>
        </w:rPr>
        <w:br/>
      </w:r>
      <w:r w:rsidRPr="00FE2D2D">
        <w:rPr>
          <w:rFonts w:ascii="Times New Roman" w:eastAsia="Times New Roman" w:hAnsi="Times New Roman" w:cs="Times New Roman"/>
          <w:b/>
          <w:bCs/>
          <w:color w:val="000000"/>
          <w:kern w:val="0"/>
          <w14:ligatures w14:val="none"/>
        </w:rPr>
        <w:t>Seção do Tratado:</w:t>
      </w:r>
      <w:r w:rsidRPr="00FE2D2D">
        <w:rPr>
          <w:rFonts w:ascii="Times New Roman" w:eastAsia="Times New Roman" w:hAnsi="Times New Roman" w:cs="Times New Roman"/>
          <w:color w:val="000000"/>
          <w:kern w:val="0"/>
          <w14:ligatures w14:val="none"/>
        </w:rPr>
        <w:t> </w:t>
      </w:r>
      <w:r w:rsidR="000C385B">
        <w:rPr>
          <w:rFonts w:ascii="Times New Roman" w:eastAsia="Times New Roman" w:hAnsi="Times New Roman" w:cs="Times New Roman"/>
          <w:color w:val="000000"/>
          <w:kern w:val="0"/>
          <w14:ligatures w14:val="none"/>
        </w:rPr>
        <w:t>4</w:t>
      </w:r>
      <w:r w:rsidRPr="00FE2D2D">
        <w:rPr>
          <w:rFonts w:ascii="Times New Roman" w:eastAsia="Times New Roman" w:hAnsi="Times New Roman" w:cs="Times New Roman"/>
          <w:color w:val="000000"/>
          <w:kern w:val="0"/>
          <w14:ligatures w14:val="none"/>
        </w:rPr>
        <w:t>.</w:t>
      </w:r>
    </w:p>
    <w:p w14:paraId="3EABECBB"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b/>
          <w:bCs/>
          <w:color w:val="000000"/>
          <w:kern w:val="0"/>
          <w14:ligatures w14:val="none"/>
        </w:rPr>
        <w:t>Autores</w:t>
      </w:r>
    </w:p>
    <w:p w14:paraId="64A599AC" w14:textId="77777777" w:rsidR="00FE2D2D" w:rsidRPr="00FE2D2D" w:rsidRDefault="00FE2D2D" w:rsidP="00FE2D2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Carlos Abreu de Aguiar</w:t>
      </w:r>
    </w:p>
    <w:p w14:paraId="40055039" w14:textId="77777777" w:rsidR="00FE2D2D" w:rsidRPr="00FE2D2D" w:rsidRDefault="00FE2D2D" w:rsidP="00FE2D2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Luca Erdmann Bini Cordeiro</w:t>
      </w:r>
    </w:p>
    <w:p w14:paraId="26E37466"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O capítulo apresenta a escoliose neuromuscular como manifestação da doença de base, integrando etiologia, função, obliquidade pélvica, comorbidades sistêmicas, planejamento cirúrgico e objetivos funcionais do tratamento.</w:t>
      </w:r>
    </w:p>
    <w:p w14:paraId="7EF530C9"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b/>
          <w:bCs/>
          <w:color w:val="000000"/>
          <w:kern w:val="0"/>
          <w14:ligatures w14:val="none"/>
        </w:rPr>
        <w:t>Nota editorial para o site</w:t>
      </w:r>
      <w:r w:rsidRPr="00FE2D2D">
        <w:rPr>
          <w:rFonts w:ascii="Times New Roman" w:eastAsia="Times New Roman" w:hAnsi="Times New Roman" w:cs="Times New Roman"/>
          <w:color w:val="000000"/>
          <w:kern w:val="0"/>
          <w14:ligatures w14:val="none"/>
        </w:rPr>
        <w:br/>
        <w:t>Esta página apresenta os princípios essenciais do capítulo. Limiares angulares, critérios quantitativos de função pulmonar, indicações específicas de fixação pélvica, detalhes das osteotomias, estratégias de tração e configurações de instrumentação permanecem reservados ao conteúdo integral do </w:t>
      </w:r>
      <w:r w:rsidRPr="00FE2D2D">
        <w:rPr>
          <w:rFonts w:ascii="Times New Roman" w:eastAsia="Times New Roman" w:hAnsi="Times New Roman" w:cs="Times New Roman"/>
          <w:i/>
          <w:iCs/>
          <w:color w:val="000000"/>
          <w:kern w:val="0"/>
          <w14:ligatures w14:val="none"/>
        </w:rPr>
        <w:t>Tratado de Cirurgia da Coluna</w:t>
      </w:r>
      <w:r w:rsidRPr="00FE2D2D">
        <w:rPr>
          <w:rFonts w:ascii="Times New Roman" w:eastAsia="Times New Roman" w:hAnsi="Times New Roman" w:cs="Times New Roman"/>
          <w:color w:val="000000"/>
          <w:kern w:val="0"/>
          <w14:ligatures w14:val="none"/>
        </w:rPr>
        <w:t>.</w:t>
      </w:r>
    </w:p>
    <w:p w14:paraId="1F5D9704"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3EF95E23">
          <v:rect id="Horizontal Line 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774201"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Contexto</w:t>
      </w:r>
    </w:p>
    <w:p w14:paraId="4E2BFA20"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 escoliose neuromuscular é uma deformidade associada a doenças neurológicas ou musculares que comprometem o controle postural e o equilíbrio das forças ao redor da coluna. Diferentemente da escoliose idiopática, tende a surgir precocemente, progredir mais rapidamente e continuar evoluindo mesmo após a maturidade esquelética. As curvas frequentemente envolvem segmentos toracolombares extensos e podem alcançar a pelve, produzindo obliquidade pélvica, desequilíbrio do tronco e dificuldades para sentar, posicionar-se, realizar higiene e manter integridade da pele. A condição também se relaciona a comprometimento respiratório, nutricional e funcional, cuja importância varia conforme a doença de base. Por isso, o tratamento não pode ser orientado apenas pela magnitude radiográfica da curva. Etiologia, capacidade motora, mobilidade, função respiratória, comorbidades, qualidade de vida do paciente e sobrecarga do cuidador precisam ser avaliadas conjuntamente. O capítulo enfatiza, assim, um modelo de decisão individualizado e multidisciplinar.</w:t>
      </w:r>
    </w:p>
    <w:p w14:paraId="08278EB2"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4DB1792E">
          <v:rect id="Horizontal Line 2"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99F9CF"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Objetivo do capítulo</w:t>
      </w:r>
    </w:p>
    <w:p w14:paraId="5E116E69"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lastRenderedPageBreak/>
        <w:t>Apresentar os fundamentos para avaliação e tratamento da escoliose neuromuscular. O leitor deverá distinguir formas neuropáticas e miopáticas, utilizar classificações estruturais e funcionais, reconhecer o papel da obliquidade pélvica, realizar avaliação pré-operatória multidisciplinar, compreender os princípios das técnicas que preservam crescimento e da fusão definitiva e antecipar as principais complicações e expectativas funcionais do tratamento.</w:t>
      </w:r>
    </w:p>
    <w:p w14:paraId="5DC5A7DB"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18B66F90">
          <v:rect id="Horizontal Line 3"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C5641D" w14:textId="77777777" w:rsidR="00FE2D2D" w:rsidRPr="00FE2D2D" w:rsidRDefault="00FE2D2D" w:rsidP="00FE2D2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E2D2D">
        <w:rPr>
          <w:rFonts w:ascii="Times New Roman" w:eastAsia="Times New Roman" w:hAnsi="Times New Roman" w:cs="Times New Roman"/>
          <w:b/>
          <w:bCs/>
          <w:color w:val="000000"/>
          <w:kern w:val="36"/>
          <w:sz w:val="48"/>
          <w:szCs w:val="48"/>
          <w14:ligatures w14:val="none"/>
        </w:rPr>
        <w:t>Conteúdo principal</w:t>
      </w:r>
    </w:p>
    <w:p w14:paraId="699E610F"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t>Etiologia e função definem o problema</w:t>
      </w:r>
    </w:p>
    <w:p w14:paraId="7BFE62F3"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O capítulo divide a escoliose neuromuscular em formas </w:t>
      </w:r>
      <w:r w:rsidRPr="00FE2D2D">
        <w:rPr>
          <w:rFonts w:ascii="Times New Roman" w:eastAsia="Times New Roman" w:hAnsi="Times New Roman" w:cs="Times New Roman"/>
          <w:b/>
          <w:bCs/>
          <w:color w:val="000000"/>
          <w:kern w:val="0"/>
          <w14:ligatures w14:val="none"/>
        </w:rPr>
        <w:t>neuropáticas</w:t>
      </w:r>
      <w:r w:rsidRPr="00FE2D2D">
        <w:rPr>
          <w:rFonts w:ascii="Times New Roman" w:eastAsia="Times New Roman" w:hAnsi="Times New Roman" w:cs="Times New Roman"/>
          <w:color w:val="000000"/>
          <w:kern w:val="0"/>
          <w14:ligatures w14:val="none"/>
        </w:rPr>
        <w:t> e </w:t>
      </w:r>
      <w:r w:rsidRPr="00FE2D2D">
        <w:rPr>
          <w:rFonts w:ascii="Times New Roman" w:eastAsia="Times New Roman" w:hAnsi="Times New Roman" w:cs="Times New Roman"/>
          <w:b/>
          <w:bCs/>
          <w:color w:val="000000"/>
          <w:kern w:val="0"/>
          <w14:ligatures w14:val="none"/>
        </w:rPr>
        <w:t>miopáticas</w:t>
      </w:r>
      <w:r w:rsidRPr="00FE2D2D">
        <w:rPr>
          <w:rFonts w:ascii="Times New Roman" w:eastAsia="Times New Roman" w:hAnsi="Times New Roman" w:cs="Times New Roman"/>
          <w:color w:val="000000"/>
          <w:kern w:val="0"/>
          <w14:ligatures w14:val="none"/>
        </w:rPr>
        <w:t>. As neuropáticas podem decorrer de comprometimento central, medular, periférico ou misto, incluindo condições como paralisia cerebral, mielomeningocele e atrofia muscular espinal. As miopáticas estão relacionadas a doenças musculares primárias, entre elas as distrofias musculares.</w:t>
      </w:r>
    </w:p>
    <w:p w14:paraId="692707B3"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Essa distinção é relevante porque a evolução da curva, o equilíbrio muscular, a função respiratória e o grau de dependência funcional variam segundo a doença subjacente.</w:t>
      </w:r>
    </w:p>
    <w:p w14:paraId="195F4ECC"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t>Classificar além da radiografia</w:t>
      </w:r>
    </w:p>
    <w:p w14:paraId="785EA9BE"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 classificação de Lonstein e Akbarnia organiza padrões de curva e equilíbrio do tronco em pacientes com paralisia cerebral. Paralelamente, o capítulo valoriza classificações funcionais.</w:t>
      </w:r>
    </w:p>
    <w:p w14:paraId="62A2E2B8"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O </w:t>
      </w:r>
      <w:r w:rsidRPr="00FE2D2D">
        <w:rPr>
          <w:rFonts w:ascii="Times New Roman" w:eastAsia="Times New Roman" w:hAnsi="Times New Roman" w:cs="Times New Roman"/>
          <w:b/>
          <w:bCs/>
          <w:color w:val="000000"/>
          <w:kern w:val="0"/>
          <w14:ligatures w14:val="none"/>
        </w:rPr>
        <w:t>Gross Motor Function Classification System (GMFCS)</w:t>
      </w:r>
      <w:r w:rsidRPr="00FE2D2D">
        <w:rPr>
          <w:rFonts w:ascii="Times New Roman" w:eastAsia="Times New Roman" w:hAnsi="Times New Roman" w:cs="Times New Roman"/>
          <w:color w:val="000000"/>
          <w:kern w:val="0"/>
          <w14:ligatures w14:val="none"/>
        </w:rPr>
        <w:t>, representado na </w:t>
      </w:r>
      <w:r w:rsidRPr="00FE2D2D">
        <w:rPr>
          <w:rFonts w:ascii="Times New Roman" w:eastAsia="Times New Roman" w:hAnsi="Times New Roman" w:cs="Times New Roman"/>
          <w:b/>
          <w:bCs/>
          <w:color w:val="000000"/>
          <w:kern w:val="0"/>
          <w14:ligatures w14:val="none"/>
        </w:rPr>
        <w:t>Figura 2</w:t>
      </w:r>
      <w:r w:rsidRPr="00FE2D2D">
        <w:rPr>
          <w:rFonts w:ascii="Times New Roman" w:eastAsia="Times New Roman" w:hAnsi="Times New Roman" w:cs="Times New Roman"/>
          <w:color w:val="000000"/>
          <w:kern w:val="0"/>
          <w14:ligatures w14:val="none"/>
        </w:rPr>
        <w:t>, caracteriza o comprometimento da função motora grosseira. A </w:t>
      </w:r>
      <w:r w:rsidRPr="00FE2D2D">
        <w:rPr>
          <w:rFonts w:ascii="Times New Roman" w:eastAsia="Times New Roman" w:hAnsi="Times New Roman" w:cs="Times New Roman"/>
          <w:b/>
          <w:bCs/>
          <w:color w:val="000000"/>
          <w:kern w:val="0"/>
          <w14:ligatures w14:val="none"/>
        </w:rPr>
        <w:t>Functional Mobility Scale (FMS)</w:t>
      </w:r>
      <w:r w:rsidRPr="00FE2D2D">
        <w:rPr>
          <w:rFonts w:ascii="Times New Roman" w:eastAsia="Times New Roman" w:hAnsi="Times New Roman" w:cs="Times New Roman"/>
          <w:color w:val="000000"/>
          <w:kern w:val="0"/>
          <w14:ligatures w14:val="none"/>
        </w:rPr>
        <w:t>, apresentada na </w:t>
      </w:r>
      <w:r w:rsidRPr="00FE2D2D">
        <w:rPr>
          <w:rFonts w:ascii="Times New Roman" w:eastAsia="Times New Roman" w:hAnsi="Times New Roman" w:cs="Times New Roman"/>
          <w:b/>
          <w:bCs/>
          <w:color w:val="000000"/>
          <w:kern w:val="0"/>
          <w14:ligatures w14:val="none"/>
        </w:rPr>
        <w:t>Figura 3</w:t>
      </w:r>
      <w:r w:rsidRPr="00FE2D2D">
        <w:rPr>
          <w:rFonts w:ascii="Times New Roman" w:eastAsia="Times New Roman" w:hAnsi="Times New Roman" w:cs="Times New Roman"/>
          <w:color w:val="000000"/>
          <w:kern w:val="0"/>
          <w14:ligatures w14:val="none"/>
        </w:rPr>
        <w:t>, acrescenta informação sobre mobilidade em diferentes contextos. Essas ferramentas ajudam a relacionar a deformidade ao desempenho real do paciente e não apenas à sua aparência radiográfica.</w:t>
      </w:r>
    </w:p>
    <w:p w14:paraId="1DE0A10F"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t>Avaliação pré-operatória é multidisciplinar</w:t>
      </w:r>
    </w:p>
    <w:p w14:paraId="4D8F8BB9"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 preparação para cirurgia deve contemplar coluna e pelve, mas também sistema respiratório, nutrição, condição cardiovascular, controle de crises convulsivas, capacidade funcional e suporte familiar. Radiografias em diferentes posições ajudam a compreender equilíbrio e flexibilidade; ressonância magnética e tomografia computadorizada podem ser empregadas conforme a doença de base e a necessidade de planejamento.</w:t>
      </w:r>
    </w:p>
    <w:p w14:paraId="16F018CB"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 avaliação pulmonar ocupa posição central devido à elevada frequência de complicações respiratórias nessa população. O capítulo ressalta, entretanto, que comprometimento respiratório importante não constitui isoladamente contraindicação absoluta, desde que o risco seja adequadamente compreendido e otimizado.</w:t>
      </w:r>
    </w:p>
    <w:p w14:paraId="13F3DC65"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lastRenderedPageBreak/>
        <w:t>Obliquidade pélvica e objetivo funcional</w:t>
      </w:r>
    </w:p>
    <w:p w14:paraId="0D5ACE75"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 obliquidade pélvica é um dos elementos mais importantes no planejamento, sobretudo em pacientes não deambuladores. Sua repercussão inclui desequilíbrio sentado, impacto iliocostal, dificuldade de posicionamento e maior demanda sobre os cuidadores.</w:t>
      </w:r>
    </w:p>
    <w:p w14:paraId="6FAF2815"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 decisão de incluir a pelve na instrumentação deve considerar função, magnitude e flexibilidade da obliquidade, doença de base e possibilidade de uma futura reoperação. O capítulo reconhece controvérsias nessa decisão e não a reduz a um único parâmetro radiográfico.</w:t>
      </w:r>
    </w:p>
    <w:p w14:paraId="2DA195B5"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t>Estratégias cirúrgicas</w:t>
      </w:r>
    </w:p>
    <w:p w14:paraId="2AF8FFC5"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Em crianças muito jovens podem ser consideradas técnicas que preservam crescimento, porém o capítulo enfatiza suas taxas de complicação e reoperação e recomenda indicação criteriosa. Sempre que possível, a fusão definitiva próxima ao período de maior crescimento é apresentada como alternativa capaz de reduzir sucessivos procedimentos em pacientes clinicamente frágeis.</w:t>
      </w:r>
    </w:p>
    <w:p w14:paraId="2D78F931"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Instrumentação segmentar posterior constitui a base da maioria das correções. Deformidades rígidas podem exigir osteotomias, tração pré-operatória ou, menos frequentemente, abordagens anteriores ou procedimentos mais complexos.</w:t>
      </w:r>
    </w:p>
    <w:p w14:paraId="14FC915D"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O objetivo não é obter uma radiografia “normal”, mas alcançar um </w:t>
      </w:r>
      <w:r w:rsidRPr="00FE2D2D">
        <w:rPr>
          <w:rFonts w:ascii="Times New Roman" w:eastAsia="Times New Roman" w:hAnsi="Times New Roman" w:cs="Times New Roman"/>
          <w:b/>
          <w:bCs/>
          <w:color w:val="000000"/>
          <w:kern w:val="0"/>
          <w14:ligatures w14:val="none"/>
        </w:rPr>
        <w:t>tronco equilibrado sobre a pelve</w:t>
      </w:r>
      <w:r w:rsidRPr="00FE2D2D">
        <w:rPr>
          <w:rFonts w:ascii="Times New Roman" w:eastAsia="Times New Roman" w:hAnsi="Times New Roman" w:cs="Times New Roman"/>
          <w:color w:val="000000"/>
          <w:kern w:val="0"/>
          <w14:ligatures w14:val="none"/>
        </w:rPr>
        <w:t>, melhorar posicionamento, conforto, higiene e cuidado diário e reduzir consequências da progressão da deformidade.</w:t>
      </w:r>
    </w:p>
    <w:p w14:paraId="386157FB"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7BB6F26C">
          <v:rect id="Horizontal Line 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78FEB2"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Aplicação clínica</w:t>
      </w:r>
    </w:p>
    <w:p w14:paraId="01CFA339"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Na prática, o paciente deve ser avaliado inicialmente pelo que </w:t>
      </w:r>
      <w:r w:rsidRPr="00FE2D2D">
        <w:rPr>
          <w:rFonts w:ascii="Times New Roman" w:eastAsia="Times New Roman" w:hAnsi="Times New Roman" w:cs="Times New Roman"/>
          <w:b/>
          <w:bCs/>
          <w:color w:val="000000"/>
          <w:kern w:val="0"/>
          <w14:ligatures w14:val="none"/>
        </w:rPr>
        <w:t>consegue fazer</w:t>
      </w:r>
      <w:r w:rsidRPr="00FE2D2D">
        <w:rPr>
          <w:rFonts w:ascii="Times New Roman" w:eastAsia="Times New Roman" w:hAnsi="Times New Roman" w:cs="Times New Roman"/>
          <w:color w:val="000000"/>
          <w:kern w:val="0"/>
          <w14:ligatures w14:val="none"/>
        </w:rPr>
        <w:t>, e não apenas pelo ângulo da curva. Capacidade de sentar, transferir-se, alimentar-se, manter higiene, utilizar os membros superiores e permanecer confortável na cadeira precisam ser documentadas, juntamente com GMFCS, FMS e atividades cotidianas quando aplicáveis. A obliquidade pélvica deve ser examinada no contexto da postura real do paciente e de sua cadeira habitual.</w:t>
      </w:r>
    </w:p>
    <w:p w14:paraId="15B569CC"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Antes de indicar cirurgia, a equipe deve determinar se a progressão da deformidade está comprometendo função, posicionamento, respiração, pele, conforto ou cuidado cotidiano. O risco do procedimento precisa ser confrontado com o risco de permitir que a deformidade continue evoluindo.</w:t>
      </w:r>
    </w:p>
    <w:p w14:paraId="6BA87167"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O planejamento pré-operatório deve incluir otimização respiratória e nutricional e revisão das comorbidades cardíacas e neurológicas relacionadas à doença de base. Em deformidades muito graves, estratégias preparatórias podem facilitar a correção e melhorar as condições gerais antes da reconstrução definitiva.</w:t>
      </w:r>
    </w:p>
    <w:p w14:paraId="38137966"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lastRenderedPageBreak/>
        <w:t>Nos pacientes não deambuladores, a decisão sobre a pelve assume importância especial. Em outros, preservar mobilidade residual pode modificar a extensão da fusão.</w:t>
      </w:r>
    </w:p>
    <w:p w14:paraId="5E2516FE"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 família e os cuidadores devem participar desde o início da decisão. As expectativas precisam ser funcionais: a cirurgia pode melhorar equilíbrio sentado, posicionamento, conforto e facilidade de cuidados, mas não se propõe a restaurar uma função motora perdida pela doença neuromuscular primária.</w:t>
      </w:r>
    </w:p>
    <w:p w14:paraId="4FEFFF6A"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781458E4">
          <v:rect id="Horizontal Line 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2669FD"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Mensagem central</w:t>
      </w:r>
    </w:p>
    <w:p w14:paraId="6DBCD8A3"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Na escoliose neuromuscular, </w:t>
      </w:r>
      <w:r w:rsidRPr="00FE2D2D">
        <w:rPr>
          <w:rFonts w:ascii="Times New Roman" w:eastAsia="Times New Roman" w:hAnsi="Times New Roman" w:cs="Times New Roman"/>
          <w:b/>
          <w:bCs/>
          <w:color w:val="000000"/>
          <w:kern w:val="0"/>
          <w14:ligatures w14:val="none"/>
        </w:rPr>
        <w:t>função e doença de base importam tanto quanto a deformidade radiográfica</w:t>
      </w:r>
      <w:r w:rsidRPr="00FE2D2D">
        <w:rPr>
          <w:rFonts w:ascii="Times New Roman" w:eastAsia="Times New Roman" w:hAnsi="Times New Roman" w:cs="Times New Roman"/>
          <w:color w:val="000000"/>
          <w:kern w:val="0"/>
          <w14:ligatures w14:val="none"/>
        </w:rPr>
        <w:t>. A decisão terapêutica deve integrar progressão da curva, equilíbrio do tronco, obliquidade pélvica, mobilidade, condição respiratória e nutricional, comorbidades e impacto sobre o paciente e seus cuidadores. A cirurgia é complexa e apresenta riscos relevantes, mas, quando adequadamente indicada e planejada por equipe multidisciplinar, pode produzir ganhos importantes de posicionamento, conforto e qualidade de vida.</w:t>
      </w:r>
    </w:p>
    <w:p w14:paraId="00CFDB3B"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15554627">
          <v:rect id="Horizontal Line 6"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1A1D35"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Por que este capítulo importa</w:t>
      </w:r>
    </w:p>
    <w:p w14:paraId="21DF4BA1"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Uma grande correção radiográfica pode representar pouco benefício se o paciente continuar mal posicionado, desconfortável ou difícil de cuidar. Inversamente, uma cirurgia que produza tronco estável sobre a pelve pode modificar profundamente o cotidiano mesmo sem restaurar capacidade motora. Este capítulo desloca o centro da decisão do ângulo da curva para a função real do paciente. Ao integrar mobilidade, respiração, nutrição, obliquidade pélvica, doença de base e necessidades do cuidador, oferece uma estrutura para decidir não apenas </w:t>
      </w:r>
      <w:r w:rsidRPr="00FE2D2D">
        <w:rPr>
          <w:rFonts w:ascii="Times New Roman" w:eastAsia="Times New Roman" w:hAnsi="Times New Roman" w:cs="Times New Roman"/>
          <w:b/>
          <w:bCs/>
          <w:color w:val="000000"/>
          <w:kern w:val="0"/>
          <w14:ligatures w14:val="none"/>
        </w:rPr>
        <w:t>como</w:t>
      </w:r>
      <w:r w:rsidRPr="00FE2D2D">
        <w:rPr>
          <w:rFonts w:ascii="Times New Roman" w:eastAsia="Times New Roman" w:hAnsi="Times New Roman" w:cs="Times New Roman"/>
          <w:color w:val="000000"/>
          <w:kern w:val="0"/>
          <w14:ligatures w14:val="none"/>
        </w:rPr>
        <w:t> operar, mas principalmente </w:t>
      </w:r>
      <w:r w:rsidRPr="00FE2D2D">
        <w:rPr>
          <w:rFonts w:ascii="Times New Roman" w:eastAsia="Times New Roman" w:hAnsi="Times New Roman" w:cs="Times New Roman"/>
          <w:b/>
          <w:bCs/>
          <w:color w:val="000000"/>
          <w:kern w:val="0"/>
          <w14:ligatures w14:val="none"/>
        </w:rPr>
        <w:t>quem</w:t>
      </w:r>
      <w:r w:rsidRPr="00FE2D2D">
        <w:rPr>
          <w:rFonts w:ascii="Times New Roman" w:eastAsia="Times New Roman" w:hAnsi="Times New Roman" w:cs="Times New Roman"/>
          <w:color w:val="000000"/>
          <w:kern w:val="0"/>
          <w14:ligatures w14:val="none"/>
        </w:rPr>
        <w:t>, </w:t>
      </w:r>
      <w:r w:rsidRPr="00FE2D2D">
        <w:rPr>
          <w:rFonts w:ascii="Times New Roman" w:eastAsia="Times New Roman" w:hAnsi="Times New Roman" w:cs="Times New Roman"/>
          <w:b/>
          <w:bCs/>
          <w:color w:val="000000"/>
          <w:kern w:val="0"/>
          <w14:ligatures w14:val="none"/>
        </w:rPr>
        <w:t>quando</w:t>
      </w:r>
      <w:r w:rsidRPr="00FE2D2D">
        <w:rPr>
          <w:rFonts w:ascii="Times New Roman" w:eastAsia="Times New Roman" w:hAnsi="Times New Roman" w:cs="Times New Roman"/>
          <w:color w:val="000000"/>
          <w:kern w:val="0"/>
          <w14:ligatures w14:val="none"/>
        </w:rPr>
        <w:t> e </w:t>
      </w:r>
      <w:r w:rsidRPr="00FE2D2D">
        <w:rPr>
          <w:rFonts w:ascii="Times New Roman" w:eastAsia="Times New Roman" w:hAnsi="Times New Roman" w:cs="Times New Roman"/>
          <w:b/>
          <w:bCs/>
          <w:color w:val="000000"/>
          <w:kern w:val="0"/>
          <w14:ligatures w14:val="none"/>
        </w:rPr>
        <w:t>por quê</w:t>
      </w:r>
      <w:r w:rsidRPr="00FE2D2D">
        <w:rPr>
          <w:rFonts w:ascii="Times New Roman" w:eastAsia="Times New Roman" w:hAnsi="Times New Roman" w:cs="Times New Roman"/>
          <w:color w:val="000000"/>
          <w:kern w:val="0"/>
          <w14:ligatures w14:val="none"/>
        </w:rPr>
        <w:t> tratar.</w:t>
      </w:r>
    </w:p>
    <w:p w14:paraId="0E652879"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4110CC9E">
          <v:rect id="Horizontal Line 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CE5A49" w14:textId="77777777" w:rsidR="00FE2D2D" w:rsidRPr="00FE2D2D" w:rsidRDefault="00FE2D2D" w:rsidP="00FE2D2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E2D2D">
        <w:rPr>
          <w:rFonts w:ascii="Times New Roman" w:eastAsia="Times New Roman" w:hAnsi="Times New Roman" w:cs="Times New Roman"/>
          <w:b/>
          <w:bCs/>
          <w:color w:val="000000"/>
          <w:kern w:val="36"/>
          <w:sz w:val="48"/>
          <w:szCs w:val="48"/>
          <w14:ligatures w14:val="none"/>
        </w:rPr>
        <w:t>Palavras-chave e descritores</w:t>
      </w:r>
    </w:p>
    <w:p w14:paraId="5C6A826D"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4"/>
        <w:gridCol w:w="3995"/>
      </w:tblGrid>
      <w:tr w:rsidR="00FE2D2D" w:rsidRPr="00FE2D2D" w14:paraId="3062E9D3" w14:textId="77777777">
        <w:trPr>
          <w:tblHeader/>
          <w:tblCellSpacing w:w="15" w:type="dxa"/>
        </w:trPr>
        <w:tc>
          <w:tcPr>
            <w:tcW w:w="0" w:type="auto"/>
            <w:vAlign w:val="center"/>
            <w:hideMark/>
          </w:tcPr>
          <w:p w14:paraId="7D1A7C9D" w14:textId="77777777" w:rsidR="00FE2D2D" w:rsidRPr="00FE2D2D" w:rsidRDefault="00FE2D2D" w:rsidP="00FE2D2D">
            <w:pPr>
              <w:spacing w:after="0" w:line="240" w:lineRule="auto"/>
              <w:jc w:val="center"/>
              <w:rPr>
                <w:rFonts w:ascii="Times New Roman" w:eastAsia="Times New Roman" w:hAnsi="Times New Roman" w:cs="Times New Roman"/>
                <w:b/>
                <w:bCs/>
                <w:color w:val="000000"/>
                <w:kern w:val="0"/>
                <w14:ligatures w14:val="none"/>
              </w:rPr>
            </w:pPr>
            <w:r w:rsidRPr="00FE2D2D">
              <w:rPr>
                <w:rFonts w:ascii="Times New Roman" w:eastAsia="Times New Roman" w:hAnsi="Times New Roman" w:cs="Times New Roman"/>
                <w:b/>
                <w:bCs/>
                <w:color w:val="000000"/>
                <w:kern w:val="0"/>
                <w14:ligatures w14:val="none"/>
              </w:rPr>
              <w:t>DeCS — português</w:t>
            </w:r>
          </w:p>
        </w:tc>
        <w:tc>
          <w:tcPr>
            <w:tcW w:w="0" w:type="auto"/>
            <w:vAlign w:val="center"/>
            <w:hideMark/>
          </w:tcPr>
          <w:p w14:paraId="7C2B9E40" w14:textId="77777777" w:rsidR="00FE2D2D" w:rsidRPr="00FE2D2D" w:rsidRDefault="00FE2D2D" w:rsidP="00FE2D2D">
            <w:pPr>
              <w:spacing w:after="0" w:line="240" w:lineRule="auto"/>
              <w:jc w:val="center"/>
              <w:rPr>
                <w:rFonts w:ascii="Times New Roman" w:eastAsia="Times New Roman" w:hAnsi="Times New Roman" w:cs="Times New Roman"/>
                <w:b/>
                <w:bCs/>
                <w:color w:val="000000"/>
                <w:kern w:val="0"/>
                <w14:ligatures w14:val="none"/>
              </w:rPr>
            </w:pPr>
            <w:r w:rsidRPr="00FE2D2D">
              <w:rPr>
                <w:rFonts w:ascii="Times New Roman" w:eastAsia="Times New Roman" w:hAnsi="Times New Roman" w:cs="Times New Roman"/>
                <w:b/>
                <w:bCs/>
                <w:color w:val="000000"/>
                <w:kern w:val="0"/>
                <w14:ligatures w14:val="none"/>
              </w:rPr>
              <w:t>MeSH — inglês</w:t>
            </w:r>
          </w:p>
        </w:tc>
      </w:tr>
      <w:tr w:rsidR="00FE2D2D" w:rsidRPr="00FE2D2D" w14:paraId="02E723A3" w14:textId="77777777">
        <w:trPr>
          <w:tblCellSpacing w:w="15" w:type="dxa"/>
        </w:trPr>
        <w:tc>
          <w:tcPr>
            <w:tcW w:w="0" w:type="auto"/>
            <w:vAlign w:val="center"/>
            <w:hideMark/>
          </w:tcPr>
          <w:p w14:paraId="5DB0FEC5"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Escoliose</w:t>
            </w:r>
          </w:p>
        </w:tc>
        <w:tc>
          <w:tcPr>
            <w:tcW w:w="0" w:type="auto"/>
            <w:vAlign w:val="center"/>
            <w:hideMark/>
          </w:tcPr>
          <w:p w14:paraId="6A2AB177"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Scoliosis</w:t>
            </w:r>
          </w:p>
        </w:tc>
      </w:tr>
      <w:tr w:rsidR="00FE2D2D" w:rsidRPr="00FE2D2D" w14:paraId="41D9BA04" w14:textId="77777777">
        <w:trPr>
          <w:tblCellSpacing w:w="15" w:type="dxa"/>
        </w:trPr>
        <w:tc>
          <w:tcPr>
            <w:tcW w:w="0" w:type="auto"/>
            <w:vAlign w:val="center"/>
            <w:hideMark/>
          </w:tcPr>
          <w:p w14:paraId="784ECBEC"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Doenças Neuromusculares</w:t>
            </w:r>
          </w:p>
        </w:tc>
        <w:tc>
          <w:tcPr>
            <w:tcW w:w="0" w:type="auto"/>
            <w:vAlign w:val="center"/>
            <w:hideMark/>
          </w:tcPr>
          <w:p w14:paraId="01F22749"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Neuromuscular Diseases</w:t>
            </w:r>
          </w:p>
        </w:tc>
      </w:tr>
      <w:tr w:rsidR="00FE2D2D" w:rsidRPr="00FE2D2D" w14:paraId="414D3E1A" w14:textId="77777777">
        <w:trPr>
          <w:tblCellSpacing w:w="15" w:type="dxa"/>
        </w:trPr>
        <w:tc>
          <w:tcPr>
            <w:tcW w:w="0" w:type="auto"/>
            <w:vAlign w:val="center"/>
            <w:hideMark/>
          </w:tcPr>
          <w:p w14:paraId="58C20285"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Paralisia Cerebral</w:t>
            </w:r>
          </w:p>
        </w:tc>
        <w:tc>
          <w:tcPr>
            <w:tcW w:w="0" w:type="auto"/>
            <w:vAlign w:val="center"/>
            <w:hideMark/>
          </w:tcPr>
          <w:p w14:paraId="25E79BB5"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Cerebral Palsy</w:t>
            </w:r>
          </w:p>
        </w:tc>
      </w:tr>
      <w:tr w:rsidR="00FE2D2D" w:rsidRPr="00FE2D2D" w14:paraId="24F28A2F" w14:textId="77777777">
        <w:trPr>
          <w:tblCellSpacing w:w="15" w:type="dxa"/>
        </w:trPr>
        <w:tc>
          <w:tcPr>
            <w:tcW w:w="0" w:type="auto"/>
            <w:vAlign w:val="center"/>
            <w:hideMark/>
          </w:tcPr>
          <w:p w14:paraId="4B5452FF"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Atrofias Musculares Espinais da Infância</w:t>
            </w:r>
          </w:p>
        </w:tc>
        <w:tc>
          <w:tcPr>
            <w:tcW w:w="0" w:type="auto"/>
            <w:vAlign w:val="center"/>
            <w:hideMark/>
          </w:tcPr>
          <w:p w14:paraId="7D00DB85"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Spinal Muscular Atrophies of Childhood</w:t>
            </w:r>
          </w:p>
        </w:tc>
      </w:tr>
      <w:tr w:rsidR="00FE2D2D" w:rsidRPr="00FE2D2D" w14:paraId="5EF98977" w14:textId="77777777">
        <w:trPr>
          <w:tblCellSpacing w:w="15" w:type="dxa"/>
        </w:trPr>
        <w:tc>
          <w:tcPr>
            <w:tcW w:w="0" w:type="auto"/>
            <w:vAlign w:val="center"/>
            <w:hideMark/>
          </w:tcPr>
          <w:p w14:paraId="07ABF323"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lastRenderedPageBreak/>
              <w:t>Fusão Vertebral</w:t>
            </w:r>
          </w:p>
        </w:tc>
        <w:tc>
          <w:tcPr>
            <w:tcW w:w="0" w:type="auto"/>
            <w:vAlign w:val="center"/>
            <w:hideMark/>
          </w:tcPr>
          <w:p w14:paraId="6A9B32D2"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Spinal Fusion</w:t>
            </w:r>
          </w:p>
        </w:tc>
      </w:tr>
      <w:tr w:rsidR="00FE2D2D" w:rsidRPr="00FE2D2D" w14:paraId="40493456" w14:textId="77777777">
        <w:trPr>
          <w:tblCellSpacing w:w="15" w:type="dxa"/>
        </w:trPr>
        <w:tc>
          <w:tcPr>
            <w:tcW w:w="0" w:type="auto"/>
            <w:vAlign w:val="center"/>
            <w:hideMark/>
          </w:tcPr>
          <w:p w14:paraId="261B78A4"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Atividades Cotidianas</w:t>
            </w:r>
          </w:p>
        </w:tc>
        <w:tc>
          <w:tcPr>
            <w:tcW w:w="0" w:type="auto"/>
            <w:vAlign w:val="center"/>
            <w:hideMark/>
          </w:tcPr>
          <w:p w14:paraId="06F00053"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Activities of Daily Living</w:t>
            </w:r>
          </w:p>
        </w:tc>
      </w:tr>
      <w:tr w:rsidR="00FE2D2D" w:rsidRPr="00FE2D2D" w14:paraId="049D92F7" w14:textId="77777777">
        <w:trPr>
          <w:tblCellSpacing w:w="15" w:type="dxa"/>
        </w:trPr>
        <w:tc>
          <w:tcPr>
            <w:tcW w:w="0" w:type="auto"/>
            <w:vAlign w:val="center"/>
            <w:hideMark/>
          </w:tcPr>
          <w:p w14:paraId="5369AC52"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Qualidade de Vida</w:t>
            </w:r>
          </w:p>
        </w:tc>
        <w:tc>
          <w:tcPr>
            <w:tcW w:w="0" w:type="auto"/>
            <w:vAlign w:val="center"/>
            <w:hideMark/>
          </w:tcPr>
          <w:p w14:paraId="1804A0E8" w14:textId="77777777" w:rsidR="00FE2D2D" w:rsidRPr="00FE2D2D" w:rsidRDefault="00FE2D2D" w:rsidP="00FE2D2D">
            <w:pPr>
              <w:spacing w:after="0"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Quality of Life</w:t>
            </w:r>
          </w:p>
        </w:tc>
      </w:tr>
    </w:tbl>
    <w:p w14:paraId="40BE7531"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t>Palavras-chave livres adicionais</w:t>
      </w:r>
    </w:p>
    <w:p w14:paraId="2E166A77" w14:textId="3B28D2DE" w:rsidR="00FE2D2D" w:rsidRPr="00FE2D2D" w:rsidRDefault="00FE2D2D" w:rsidP="000C385B">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b/>
          <w:bCs/>
          <w:color w:val="000000"/>
          <w:kern w:val="0"/>
          <w14:ligatures w14:val="none"/>
        </w:rPr>
        <w:t xml:space="preserve">Escoliose neuromuscular; obliquidade pélvica; GMFCS; Functional Mobility Scale; equilíbrio sentado; fixação pélvica; tração halo-gravitacional; instrumentação segmentar; </w:t>
      </w:r>
    </w:p>
    <w:p w14:paraId="2CFF3198"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7A3B0249">
          <v:rect id="Horizontal Line 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1E704E" w14:textId="77777777" w:rsidR="00FE2D2D" w:rsidRPr="00FE2D2D" w:rsidRDefault="00FE2D2D" w:rsidP="00FE2D2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E2D2D">
        <w:rPr>
          <w:rFonts w:ascii="Times New Roman" w:eastAsia="Times New Roman" w:hAnsi="Times New Roman" w:cs="Times New Roman"/>
          <w:b/>
          <w:bCs/>
          <w:color w:val="000000"/>
          <w:kern w:val="36"/>
          <w:sz w:val="48"/>
          <w:szCs w:val="48"/>
          <w14:ligatures w14:val="none"/>
        </w:rPr>
        <w:t>Três cards de destaque</w:t>
      </w:r>
    </w:p>
    <w:p w14:paraId="0BC7433F"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Card 1 — Conceito essencial</w:t>
      </w:r>
    </w:p>
    <w:p w14:paraId="766B725E"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t>A curva expressa a doença</w:t>
      </w:r>
    </w:p>
    <w:p w14:paraId="130F7FFB"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 escoliose neuromuscular resulta do desequilíbrio de força e controle postural produzido pela doença de base. Por isso, duas curvas radiograficamente semelhantes podem apresentar histórias naturais, riscos respiratórios e necessidades funcionais completamente diferentes conforme a etiologia e o nível de comprometimento motor.</w:t>
      </w:r>
    </w:p>
    <w:p w14:paraId="54AD6F03"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418EDA6A">
          <v:rect id="Horizontal Line 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88B416"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Card 2 — Decisão clínica</w:t>
      </w:r>
    </w:p>
    <w:p w14:paraId="43717C58"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t>Planeje pelo paciente sentado</w:t>
      </w:r>
    </w:p>
    <w:p w14:paraId="73BC1954"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Nos pacientes não deambuladores, equilíbrio do tronco e obliquidade pélvica devem ser avaliados na posição funcional habitual. A extensão da reconstrução deve considerar posicionamento, conforto, impacto iliocostal, integridade da pele e possibilidade de futuras revisões, e não apenas o valor angular da pelve.</w:t>
      </w:r>
    </w:p>
    <w:p w14:paraId="122491CC"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54654D8C">
          <v:rect id="Horizontal Line 1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F9F057" w14:textId="77777777" w:rsidR="00FE2D2D" w:rsidRPr="00FE2D2D" w:rsidRDefault="00FE2D2D" w:rsidP="00FE2D2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2D2D">
        <w:rPr>
          <w:rFonts w:ascii="Times New Roman" w:eastAsia="Times New Roman" w:hAnsi="Times New Roman" w:cs="Times New Roman"/>
          <w:b/>
          <w:bCs/>
          <w:color w:val="000000"/>
          <w:kern w:val="0"/>
          <w:sz w:val="36"/>
          <w:szCs w:val="36"/>
          <w14:ligatures w14:val="none"/>
        </w:rPr>
        <w:t>Card 3 — Pérola ou alerta</w:t>
      </w:r>
    </w:p>
    <w:p w14:paraId="5285FA0B" w14:textId="77777777" w:rsidR="00FE2D2D" w:rsidRPr="00FE2D2D" w:rsidRDefault="00FE2D2D" w:rsidP="00FE2D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2D2D">
        <w:rPr>
          <w:rFonts w:ascii="Times New Roman" w:eastAsia="Times New Roman" w:hAnsi="Times New Roman" w:cs="Times New Roman"/>
          <w:b/>
          <w:bCs/>
          <w:color w:val="000000"/>
          <w:kern w:val="0"/>
          <w:sz w:val="27"/>
          <w:szCs w:val="27"/>
          <w14:ligatures w14:val="none"/>
        </w:rPr>
        <w:t>Otimize antes de corrigir</w:t>
      </w:r>
    </w:p>
    <w:p w14:paraId="78D659ED"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 xml:space="preserve">Respiração, nutrição, condição cardíaca, controle de crises e suporte familiar modificam diretamente o risco cirúrgico. Em uma população com alta incidência de complicações, o </w:t>
      </w:r>
      <w:r w:rsidRPr="00FE2D2D">
        <w:rPr>
          <w:rFonts w:ascii="Times New Roman" w:eastAsia="Times New Roman" w:hAnsi="Times New Roman" w:cs="Times New Roman"/>
          <w:color w:val="000000"/>
          <w:kern w:val="0"/>
          <w14:ligatures w14:val="none"/>
        </w:rPr>
        <w:lastRenderedPageBreak/>
        <w:t>verdadeiro planejamento começa antes da instrumentação: transformar um paciente clinicamente vulnerável em candidato mais seguro faz parte do tratamento da deformidade.</w:t>
      </w:r>
    </w:p>
    <w:p w14:paraId="5244C272"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064748E8">
          <v:rect id="Horizontal Line 1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E47817" w14:textId="77777777" w:rsidR="00FE2D2D" w:rsidRPr="00FE2D2D" w:rsidRDefault="00FE2D2D" w:rsidP="00FE2D2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E2D2D">
        <w:rPr>
          <w:rFonts w:ascii="Times New Roman" w:eastAsia="Times New Roman" w:hAnsi="Times New Roman" w:cs="Times New Roman"/>
          <w:b/>
          <w:bCs/>
          <w:color w:val="000000"/>
          <w:kern w:val="36"/>
          <w:sz w:val="48"/>
          <w:szCs w:val="48"/>
          <w14:ligatures w14:val="none"/>
        </w:rPr>
        <w:t>Referências bibliográficas</w:t>
      </w:r>
    </w:p>
    <w:p w14:paraId="03D51444"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Wishart BD, Kivlehan E. Neuromuscular scoliosis: when, who, why and outcomes. Phys Med Rehabil Clin N Am. 2021;32(3):547-56.</w:t>
      </w:r>
    </w:p>
    <w:p w14:paraId="20771A0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Halawi MJ, Lark RK, Fitch RD. Neuromuscular scoliosis: current concepts. Orthopedics. 2015;38(6):e452-6.</w:t>
      </w:r>
    </w:p>
    <w:p w14:paraId="142E0DD4"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Allam AM, Schwabe AL. Neuromuscular scoliosis. PM R. 2013;5(11):957-63.</w:t>
      </w:r>
    </w:p>
    <w:p w14:paraId="45D52BF2"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Vialle R, Thévenin-Lemoine C, Mary P. Neuromuscular scoliosis. Orthop Traumatol Surg Res. 2013;99(1):S124-39.</w:t>
      </w:r>
    </w:p>
    <w:p w14:paraId="1E03CA05"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Jang J, Park Y, Lee S, Cho S, Lee JC, Hong S, et al. The effect of a flexible thoracolumbar brace on neuromuscular scoliosis: a prospective observational study. Medicine (Baltimore). 2021;100(32):e26822.</w:t>
      </w:r>
    </w:p>
    <w:p w14:paraId="1269D2E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Hudec J, Prokopová T, Kosinová M, Gál R. Anesthesia and perioperative management for surgical correction of neuromuscular scoliosis in children: a narrative review. J Clin Med. 2023;12(11).</w:t>
      </w:r>
    </w:p>
    <w:p w14:paraId="00CC740F"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Cognetti D, Keeny HM, Samdani AF, Pahys JM, Hanson DS, Blanke K, et al. Neuromuscular scoliosis complication rates from 2004 to 2015: a report from the Scoliosis Research Society Morbidity and Mortality database. Neurosurg Focus. 2017;43(4).</w:t>
      </w:r>
    </w:p>
    <w:p w14:paraId="3E8D2742"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McCarthy JJ, D’Andrea LP, Betz RR, Clements DH. Scoliosis in the child with cerebral palsy. J Am Acad Orthop Surg. 2006;14(6):367-75.</w:t>
      </w:r>
    </w:p>
    <w:p w14:paraId="4827F794"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View of management of spinal deformity in cerebral palsy [Internet]. [cited 2025 Jul 8]. Available from: </w:t>
      </w:r>
      <w:r w:rsidRPr="00FE2D2D">
        <w:rPr>
          <w:rFonts w:ascii="Courier New" w:eastAsia="Times New Roman" w:hAnsi="Courier New" w:cs="Courier New"/>
          <w:color w:val="000000"/>
          <w:kern w:val="0"/>
          <w:sz w:val="20"/>
          <w:szCs w:val="20"/>
          <w14:ligatures w14:val="none"/>
        </w:rPr>
        <w:t>https://www.jposna.org/index.php/jposna/article/view/8/23</w:t>
      </w:r>
    </w:p>
    <w:p w14:paraId="4051BD9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Dimitrakis N, Zafeiris CP. Neuromuscular scoliosis: a narrative review. J Res Pract Musculoskelet Syst. 2023;7(2):38.</w:t>
      </w:r>
    </w:p>
    <w:p w14:paraId="1AE2EEA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Gnazzo M, Pisanò G, Piccolo B, Turco EC, Esposito S, Pera MC. Scoliosis in spinal muscular atrophy in the era of disease-modifying therapy: a scoping review. Neurol Sci. 2025:1-12.</w:t>
      </w:r>
    </w:p>
    <w:p w14:paraId="0EEA10E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Ciftci S, Ulusaloglu AC, Shrader MW, Scavina MT, Mackenzie WG, Heinle R, et al. Scoliosis development in spinal muscular atrophy: the influences of genetic severity, functional level, and disease-modifying treatments. J Pediatr Orthop. 2024;44(9):e789-94.</w:t>
      </w:r>
    </w:p>
    <w:p w14:paraId="4497230B"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Aponte Ribero V, Martí Y, Batson S, Mitchell S, Gorni K, Gusset N, et al. Systematic literature review of the natural history of spinal muscular atrophy: motor function, scoliosis, and contractures. Neurology. 2023;101(21):e2103-13.</w:t>
      </w:r>
    </w:p>
    <w:p w14:paraId="75282E84"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Suk KS, Lee BH, Lee HM, Moon SH, Choi YC, Shin DE, et al. Functional outcomes in Duchenne muscular dystrophy scoliosis: comparison of the differences between surgical and nonsurgical treatment. J Bone Joint Surg Am. 2014;96(5):409-15.</w:t>
      </w:r>
    </w:p>
    <w:p w14:paraId="218D6FC5"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lastRenderedPageBreak/>
        <w:t>Granata C, Merlini L, Cervellati S, Ballestrazzi A, Giannini S, Corbascio M, et al. Long-term results of spine surgery in Duchenne muscular dystrophy. Neuromuscul Disord. 1996;6(1):61-8.</w:t>
      </w:r>
    </w:p>
    <w:p w14:paraId="4A05AF1C"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Loughenbury PR, Tsirikos AI. Current concepts in the treatment of neuromuscular scoliosis: clinical assessment, treatment options, and surgical outcomes. Bone Jt Open. 2022;3(1):85-92.</w:t>
      </w:r>
    </w:p>
    <w:p w14:paraId="571B9724"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Lonstein JE, Akbarnia A. Operative treatment of spinal deformities in patients with cerebral palsy or mental retardation. An analysis of one hundred and seven cases. J Bone Joint Surg Am. 1983;65(1):43-55.</w:t>
      </w:r>
    </w:p>
    <w:p w14:paraId="5882355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Persson-Bunke M, Hägglund G, Lauge-Pedersen H, Ma PW, Westbom L. Scoliosis in a total population of children with cerebral palsy. Spine (Phila Pa 1976). 2012;37(12).</w:t>
      </w:r>
    </w:p>
    <w:p w14:paraId="16452EB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Palisano R, Rosenbaum P, Walter S, Russell D, Wood E, Galuppi B. Development and reliability of a system to classify gross motor function in children with cerebral palsy. Dev Med Child Neurol. 1997;39(4):214-23.</w:t>
      </w:r>
    </w:p>
    <w:p w14:paraId="771DC95D"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Graham HK, Harvey A, Rodda J, Nattrass GR, Pirpiris M. The Functional Mobility Scale (FMS). J Pediatr Orthop. 2004;24(5):514-20.</w:t>
      </w:r>
    </w:p>
    <w:p w14:paraId="4CC2FF6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Mullender MG, Blom NA, De Kleuver M, Fock JM, Hitters WMGC, Horemans AMC, et al. A Dutch guideline for the treatment of scoliosis in neuromuscular disorders. Scoliosis. 2008;3(1):1-14.</w:t>
      </w:r>
    </w:p>
    <w:p w14:paraId="6FCCED9A"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Welborn MC, Redding G, Evers P, Nicol L, Bauer DF, Iyer RR, et al. Pre-op considerations in neuromuscular scoliosis deformity surgery: proceedings of the half day course at the 58th annual meeting of the Scoliosis Research Society. Spine Deform. 2024;12(4):867-76.</w:t>
      </w:r>
    </w:p>
    <w:p w14:paraId="23C42F53"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Sedra F, Shafafy R, Sadek AR, Aftab S, Montgomery A, Nadarajah R. Perioperative optimization of patients with neuromuscular disorders undergoing scoliosis corrective surgery: a multidisciplinary team approach. Global Spine J. 2021;11(2):240-8.</w:t>
      </w:r>
    </w:p>
    <w:p w14:paraId="385838BA"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Chong HS, Moon ES, Park JO, Kim DY, Kho PAB, Lee HM, et al. Value of preoperative pulmonary function test in flaccid neuromuscular scoliosis surgery. Spine (Phila Pa 1976). 2011;36(21).</w:t>
      </w:r>
    </w:p>
    <w:p w14:paraId="2B850C8A"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Snezhina L, Vasil Y, Evgeni V, Stamatios P, Emilia N, Penka P, et al. Lung function in children with scoliosis and enhanced spirometry sensitivity when using arm span index for restriction detection. Ann Pulmonol. 2019;3(1).</w:t>
      </w:r>
    </w:p>
    <w:p w14:paraId="2A3EE339"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Brusasco V, Barisione G, Crimi E. Pulmonary physiology: future directions for lung function testing in COPD. Respirology. 2015;20(2):209-18.</w:t>
      </w:r>
    </w:p>
    <w:p w14:paraId="499FDA6C"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Chaney H, Mekking D, De Bakker D, Beeri E, Eekhoff EMW, Franken A, et al. Key4OI recommendations for lung function guidance in osteogenesis imperfecta: based on an internationally performed comprehensive International Consortium for Health Outcomes Measurement procedure. Chest. 2023;163(5):1201-13.</w:t>
      </w:r>
    </w:p>
    <w:p w14:paraId="148B3D79"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Pesenti S, Blondel B, Peltier E, Launay F, Fuentes S, Bollini G, et al. Experience in perioperative management of patients undergoing posterior spine fusion for neuromuscular scoliosis. Biomed Res Int. 2016;2016.</w:t>
      </w:r>
    </w:p>
    <w:p w14:paraId="3CC21570"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Nnake CO, Concepcion-Gonzalez A, Malka MS, Berube E, Ferris A, Bainton N, et al. Preoperative echocardiogram does not contribute to surgical risk assessment in patients with large curve scoliosis and no cardiac risk factors. J Pediatr Orthop. 2024;44(7):443-7.</w:t>
      </w:r>
    </w:p>
    <w:p w14:paraId="7CBD324A"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lastRenderedPageBreak/>
        <w:t>Kincl V, Panovský R, Pešl M, Máchal J, Juříková L, Haberlová J, et al. Echocardiographic signs of subclinical cardiac function impairment in Duchenne dystrophy gene carriers. Sci Rep. 2020;10(1):1-6.</w:t>
      </w:r>
    </w:p>
    <w:p w14:paraId="013F417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Acampa M, Guideri F. Cardiac disease and Rett syndrome. Arch Dis Child. 2006;91(5):440.</w:t>
      </w:r>
    </w:p>
    <w:p w14:paraId="72BF1A04"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Weissmann KA, Lafage V, Pitaque CB, Lafage R, Huaiquilaf CM, Ang B, et al. Neuromuscular scoliosis: comorbidities and complications. Asian Spine J. 2020;15(6):778.</w:t>
      </w:r>
    </w:p>
    <w:p w14:paraId="2855F69B"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Larsson EL, Aaro S, Ahlinder P, Öberg B. Preoperative evaluation of activity and function in patients with paralytic scoliosis. Eur Spine J. 1998;7(4):294-301.</w:t>
      </w:r>
    </w:p>
    <w:p w14:paraId="04E24D9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Tsirikos AI. Surgical correction of neuromuscular scoliosis: current concepts. Orthop Traumatol Surg Res. 2010;96(2):S152-S163.</w:t>
      </w:r>
    </w:p>
    <w:p w14:paraId="78C72C9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Sponseller PD, Macagba AM, Solacoff D, others. Pelvic fixation in neuromuscular scoliosis. J Bone Joint Surg Am. 2000;82(4):544-53.</w:t>
      </w:r>
    </w:p>
    <w:p w14:paraId="0C066012"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van Bosse HJP. Scoliosis in patients with neuromuscular disease. Orthop Clin North Am. 2010;41(4):531-47.</w:t>
      </w:r>
    </w:p>
    <w:p w14:paraId="6BA0437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Master DL, Son-Hing JP, Poe-Kochert C, Armstrong DG, Thompson GH. Risk factors for major complications after surgery for neuromuscular scoliosis. Spine (Phila Pa 1976). 2011;36(7):564-71.</w:t>
      </w:r>
    </w:p>
    <w:p w14:paraId="7E491D85"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Miller F, Moseley CF, Dabney KW, others. Spinal deformities in children with cerebral palsy. J Pediatr Orthop B. 1997;6(3):175-81.</w:t>
      </w:r>
    </w:p>
    <w:p w14:paraId="55FE69BB"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Hwang SW, Samdani AF, others. Outcomes of spinal fusion in patients with neuromuscular scoliosis: a multicenter study. Spine (Phila Pa 1976). 2012;37(12):E760-E768.</w:t>
      </w:r>
    </w:p>
    <w:p w14:paraId="1C2B12DD"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Miller F, Dabney KW, Lipton GE. Spinal fusion in paralytic neuromuscular scoliosis. J Pediatr Orthop. 1999;19(3):375-9.</w:t>
      </w:r>
    </w:p>
    <w:p w14:paraId="3B7F594A"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Tsirikos AI. Surgical correction of spinal deformity in paediatric patients with cerebral palsy. J Bone Joint Surg Br. 2011;93(6):734-9.</w:t>
      </w:r>
    </w:p>
    <w:p w14:paraId="1F913DC8"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Yang JH, Kim HJ, Chang DG, others. Clinical and radiological efficacy of spino-pelvic fixation in the treatment of neuromuscular scoliosis. Sci Rep. 2023;13(1):9993.</w:t>
      </w:r>
    </w:p>
    <w:p w14:paraId="21FBE99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Douleh DG, Greig D, Thompson R, Garg S. When should instrumentation to the pelvis be considered in minimally ambulatory adolescents with neuromuscular scoliosis? J Pediatr Orthop. 2021;41(Suppl 1):S53-S58.</w:t>
      </w:r>
    </w:p>
    <w:p w14:paraId="583D07B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Geiger F, Eberl J, Wirries A, Forth A, Hammad A. The indication of fusion to the pelvis in neuromuscular scoliosis is based on the underlying disease rather than on pelvic obliquity. Eur Spine J. 2023;32(11):4063-72.</w:t>
      </w:r>
    </w:p>
    <w:p w14:paraId="385DEAB9"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Bekmez S, Ozhan M, Olgun ZD, others. Pedicle subtraction osteotomy versus multiple posterior column osteotomies in severe and rigid neuromuscular scoliosis. Spine (Phila Pa 1976). 2018;43(15):E905-E910.</w:t>
      </w:r>
    </w:p>
    <w:p w14:paraId="06027CA0"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Matsumoto H, Fano AN, Ball J, others. Uncorrected pelvic obliquity is associated with worse health-related quality of life (HRQoL) in children and their caregivers at the end of surgical treatment for early onset scoliosis (EOS). J Pediatr Orthop. 2022;42(4):e390-e396.</w:t>
      </w:r>
    </w:p>
    <w:p w14:paraId="2873A931"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Tsirikos AI, Wordie SJ. The surgical treatment of spinal deformity in children with non-ambulatory myelomeningocele. Bone Joint J. 2021;103-B(6):1133-41.</w:t>
      </w:r>
    </w:p>
    <w:p w14:paraId="782E96F0"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lastRenderedPageBreak/>
        <w:t>McCarthy RE, McCullough FL. Shilla growth guidance for early-onset scoliosis: results after a minimum of five years of follow-up. J Bone Joint Surg Am. 2014;97(19):1578-84.</w:t>
      </w:r>
    </w:p>
    <w:p w14:paraId="2E6162BC"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Tokala DP, Lam KS, Freeman BJC, Webb JK. Is there a role for selective anterior instrumentation in neuromuscular scoliosis? Eur Spine J. 2007;16(1):91-6.</w:t>
      </w:r>
    </w:p>
    <w:p w14:paraId="69158F33"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Smith JT. Bilateral rib-to-pelvis technique for managing early-onset scoliosis. Clin Orthop Relat Res. 2010;469(5):1349.</w:t>
      </w:r>
    </w:p>
    <w:p w14:paraId="7B238D9C"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Flynn JM, Ramirez N, Emans JB, Smith JT, Mulcahey MJ, Betz RR. Is the vertebral expandable prosthetic titanium rib a surgical alternative in patients with spina bifida? Clin Orthop Relat Res. 2011;469(5):1291-6.</w:t>
      </w:r>
    </w:p>
    <w:p w14:paraId="1DFCA411"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Westerlund LE, Gill SS, Jarosz TS, Abel MF, Blanco JS. Posterior-only unit rod instrumentation and fusion for neuromuscular scoliosis. Spine (Phila Pa 1976). 2001;26(18):1984-9.</w:t>
      </w:r>
    </w:p>
    <w:p w14:paraId="002EE68A"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Dubousset J, Herring JA, Shufflebarger H. The crankshaft phenomenon. J Pediatr Orthop. 1989;9(5):541-50.</w:t>
      </w:r>
    </w:p>
    <w:p w14:paraId="224EDEC0"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Dias RC, Miller F, Dabney K, Lipton G, Temple T. Surgical correction of spinal deformity using a unit rod in children with cerebral palsy. J Pediatr Orthop. 1996;16(6):734-40.</w:t>
      </w:r>
    </w:p>
    <w:p w14:paraId="46C44272"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Samdani A, Newton PO, Sponseller PD, Shufflebarger HL, Betz RR. Neuromuscular spine deformity [Internet]. New York: Thieme Medical; 2018. 300 p. Available from: </w:t>
      </w:r>
      <w:r w:rsidRPr="00FE2D2D">
        <w:rPr>
          <w:rFonts w:ascii="Courier New" w:eastAsia="Times New Roman" w:hAnsi="Courier New" w:cs="Courier New"/>
          <w:color w:val="000000"/>
          <w:kern w:val="0"/>
          <w:sz w:val="20"/>
          <w:szCs w:val="20"/>
          <w14:ligatures w14:val="none"/>
        </w:rPr>
        <w:t>http://dx.doi.org/10.1055/b-004-135647</w:t>
      </w:r>
    </w:p>
    <w:p w14:paraId="7235D758"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Allen BL, Ferguson RL. The Galveston technique of pelvic fixation with L-rod instrumentation of the spine. Spine (Phila Pa 1976). 1984;9(4):388-94.</w:t>
      </w:r>
    </w:p>
    <w:p w14:paraId="16933332"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Peelle MW, Lenke LG, Bridwell KH, Sides B. Comparison of pelvic fixation techniques in neuromuscular spinal deformity correction: Galveston rod versus iliac and lumbosacral screws. Spine (Phila Pa 1976). 2006;31(20):2392-8.</w:t>
      </w:r>
    </w:p>
    <w:p w14:paraId="281FD21E"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Loughenbury PR, Tsirikos AI. Current concepts in the treatment of neuromuscular scoliosis: clinical assessment, treatment options, and surgical outcomes. Bone Jt Open. 2022;3(1):85-92.</w:t>
      </w:r>
    </w:p>
    <w:p w14:paraId="67CC914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Suresh KV, Ikwuezunma I, Margalit A, Sponseller PD. Spinal fusion with sacral alar iliac pelvic fixation in severe neuromuscular scoliosis. JBJS Essent Surg Tech. 2021;11(3).</w:t>
      </w:r>
    </w:p>
    <w:p w14:paraId="2DEE3C7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Dayer R, Ouellet JA, Saran N. Pelvic fixation for neuromuscular scoliosis deformity correction. Curr Rev Musculoskelet Med. 2012;5(2):91.</w:t>
      </w:r>
    </w:p>
    <w:p w14:paraId="27927BBF"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Murphy RF, Mooney JF. Current concepts in neuromuscular scoliosis. Curr Rev Musculoskelet Med. 2019;12(2):220-7.</w:t>
      </w:r>
    </w:p>
    <w:p w14:paraId="39A2120C"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Yang JH, Kim HJ, Chang DG, Nam Y, Park GS, Na DG, et al. Clinical and radiological efficacy of spino-pelvic fixation in the treatment of neuromuscular scoliosis. Sci Rep. 2023;13(1):1-9.</w:t>
      </w:r>
    </w:p>
    <w:p w14:paraId="199B310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Bekmez S, Ozhan M, Olgun ZD, others. Pedicle subtraction osteotomy versus multiple posterior column osteotomies in severe and rigid neuromuscular scoliosis. Spine (Phila Pa 1976). 2018;43(15):E905-E910.</w:t>
      </w:r>
    </w:p>
    <w:p w14:paraId="71B484C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Sponseller PD, Takenaga RK, Newton P, Boachie O, Flynn J, Letko L, et al. The use of traction in the treatment of severe spinal deformity. Spine (Phila Pa 1976). 2008;33(21):2305-9.</w:t>
      </w:r>
    </w:p>
    <w:p w14:paraId="355698B7"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Reed LA, Mihas A, Butler R, Pratheep G, Manoharan SR, Theiss S, et al. Halo gravity traction for the correction of spinal deformities in the pediatric population: a systematic review and meta-analysis. World Neurosurg. 2022;164:e636-48.</w:t>
      </w:r>
    </w:p>
    <w:p w14:paraId="562D76D3"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lastRenderedPageBreak/>
        <w:t>Koller H, Zenner J, Gajic V, Meier O, Ferraris L, Hitzl W. The impact of halo-gravity traction on curve rigidity and pulmonary function in the treatment of severe and rigid scoliosis and kyphoscoliosis: a clinical study and narrative review of the literature. Eur Spine J. 2012;21(3):514-29.</w:t>
      </w:r>
    </w:p>
    <w:p w14:paraId="29346E65"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Auerbach JD, Spiegel DA, Zgonis MH, Reddy SC, Drummond DS, Dormans JP, et al. The correction of pelvic obliquity in patients with cerebral palsy and neuromuscular scoliosis: is there a benefit of anterior release prior to posterior spinal arthrodesis? Spine (Phila Pa 1976). 2009;34(21).</w:t>
      </w:r>
    </w:p>
    <w:p w14:paraId="5B7BE830"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Tsirikos AI, Chang WN, Dabney KW, Miller F. Comparison of one-stage versus two-stage anteroposterior spinal fusion in pediatric patients with cerebral palsy and neuromuscular scoliosis. Spine (Phila Pa 1976). 2003;28(12):1300-5.</w:t>
      </w:r>
    </w:p>
    <w:p w14:paraId="3B876EED"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Auerbach JD, Spiegel DA, Zgonis MH, Reddy SC, Drummond DS, Dormans JP, et al. The correction of pelvic obliquity in patients with cerebral palsy and neuromuscular scoliosis: is there a benefit of anterior release prior to posterior spinal arthrodesis? Spine (Phila Pa 1976). 2009;34(21).</w:t>
      </w:r>
    </w:p>
    <w:p w14:paraId="55B74CBE"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Gumbs AA, Bloom ND, Bitan FD, Hanan SH. Open anterior approaches for lumbar spine procedures. Am J Surg. 2007;194(1):98-102.</w:t>
      </w:r>
    </w:p>
    <w:p w14:paraId="7407FC46"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Shao ZX, Fang X, Lv QB, Hu ZC, Shao SY, Hu YB, et al. Comparison of combined anterior-posterior approach versus posterior-only approach in neuromuscular scoliosis: a systematic review and meta-analysis. Eur Spine J. 2018;27(9):2213-22.</w:t>
      </w:r>
    </w:p>
    <w:p w14:paraId="7165EECE"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Cerpa M, Zuckerman SL, Lenke LG, Carreon LY, Cheung KMC, Kelly MP, et al. Long-term follow-up of nonneurologic and neurologic complications after complex adult spinal deformity surgery: results from the Scoli-RISK-1 study. Eur Spine J. 2025;34(5):1790-800.</w:t>
      </w:r>
    </w:p>
    <w:p w14:paraId="6E874BE5"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Lonstein JE, Koop SE, Novachek TF, Perra JH. Results and complications after spinal fusion for neuromuscular scoliosis in cerebral palsy and static encephalopathy using Luque-Galveston instrumentation: experience in 93 patients. Spine (Phila Pa 1976). 2012;37(7):583-91.</w:t>
      </w:r>
    </w:p>
    <w:p w14:paraId="57778228"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Mohamad F, Parent S, Pawelek J, Marks M, Bastrom T, Faro F, et al. Perioperative complications after surgical correction in neuromuscular scoliosis. J Pediatr Orthop. 2007;27(4):392-7.</w:t>
      </w:r>
    </w:p>
    <w:p w14:paraId="1EC91D03"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Sharma S, Wu C, Andersen T, Wang Y, Hansen ES, Bünger CE. Prevalence of complications in neuromuscular scoliosis surgery: a literature meta-analysis from the past 15 years. Eur Spine J. 2013;22(6):1230-49.</w:t>
      </w:r>
    </w:p>
    <w:p w14:paraId="246AC5D2" w14:textId="77777777" w:rsidR="00FE2D2D" w:rsidRPr="00FE2D2D" w:rsidRDefault="00FE2D2D" w:rsidP="00FE2D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color w:val="000000"/>
          <w:kern w:val="0"/>
          <w14:ligatures w14:val="none"/>
        </w:rPr>
        <w:t>Elmeshneb MA, Hassanin MA, Elnady B, Sleem A, Le GT, Patel MS, et al. Surgical complications in neuromuscular scoliosis surgery: systematic review and meta-analysis of the last ten years. Eur Spine J. 2024;33(7):2666-76.</w:t>
      </w:r>
    </w:p>
    <w:p w14:paraId="66E26652" w14:textId="77777777" w:rsidR="00FE2D2D" w:rsidRPr="00FE2D2D" w:rsidRDefault="00923094" w:rsidP="00FE2D2D">
      <w:pPr>
        <w:spacing w:after="0" w:line="240" w:lineRule="auto"/>
        <w:rPr>
          <w:rFonts w:ascii="Times New Roman" w:eastAsia="Times New Roman" w:hAnsi="Times New Roman" w:cs="Times New Roman"/>
          <w:kern w:val="0"/>
          <w14:ligatures w14:val="none"/>
        </w:rPr>
      </w:pPr>
      <w:r>
        <w:rPr>
          <w:noProof/>
        </w:rPr>
      </w:r>
      <w:r>
        <w:pict w14:anchorId="1436E1B7">
          <v:rect id="Horizontal Lin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7C536C" w14:textId="77777777" w:rsidR="00FE2D2D" w:rsidRPr="00FE2D2D" w:rsidRDefault="00FE2D2D" w:rsidP="00FE2D2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E2D2D">
        <w:rPr>
          <w:rFonts w:ascii="Times New Roman" w:eastAsia="Times New Roman" w:hAnsi="Times New Roman" w:cs="Times New Roman"/>
          <w:b/>
          <w:bCs/>
          <w:color w:val="000000"/>
          <w:kern w:val="36"/>
          <w:sz w:val="48"/>
          <w:szCs w:val="48"/>
          <w14:ligatures w14:val="none"/>
        </w:rPr>
        <w:t>Metadados para publicação</w:t>
      </w:r>
    </w:p>
    <w:p w14:paraId="3A9924D6"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b/>
          <w:bCs/>
          <w:color w:val="000000"/>
          <w:kern w:val="0"/>
          <w14:ligatures w14:val="none"/>
        </w:rPr>
        <w:t>Título SEO:</w:t>
      </w:r>
      <w:r w:rsidRPr="00FE2D2D">
        <w:rPr>
          <w:rFonts w:ascii="Times New Roman" w:eastAsia="Times New Roman" w:hAnsi="Times New Roman" w:cs="Times New Roman"/>
          <w:color w:val="000000"/>
          <w:kern w:val="0"/>
          <w14:ligatures w14:val="none"/>
        </w:rPr>
        <w:t> Escoliose neuromuscular | Tratado</w:t>
      </w:r>
    </w:p>
    <w:p w14:paraId="2026EDFA"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b/>
          <w:bCs/>
          <w:color w:val="000000"/>
          <w:kern w:val="0"/>
          <w14:ligatures w14:val="none"/>
        </w:rPr>
        <w:lastRenderedPageBreak/>
        <w:t>Meta descrição:</w:t>
      </w:r>
      <w:r w:rsidRPr="00FE2D2D">
        <w:rPr>
          <w:rFonts w:ascii="Times New Roman" w:eastAsia="Times New Roman" w:hAnsi="Times New Roman" w:cs="Times New Roman"/>
          <w:color w:val="000000"/>
          <w:kern w:val="0"/>
          <w14:ligatures w14:val="none"/>
        </w:rPr>
        <w:t> Entenda etiologia, avaliação funcional, obliquidade pélvica, planejamento multidisciplinar e princípios do tratamento da escoliose neuromuscular.</w:t>
      </w:r>
    </w:p>
    <w:p w14:paraId="10844732"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b/>
          <w:bCs/>
          <w:color w:val="000000"/>
          <w:kern w:val="0"/>
          <w14:ligatures w14:val="none"/>
        </w:rPr>
        <w:t>Resumo de chamada:</w:t>
      </w:r>
      <w:r w:rsidRPr="00FE2D2D">
        <w:rPr>
          <w:rFonts w:ascii="Times New Roman" w:eastAsia="Times New Roman" w:hAnsi="Times New Roman" w:cs="Times New Roman"/>
          <w:color w:val="000000"/>
          <w:kern w:val="0"/>
          <w14:ligatures w14:val="none"/>
        </w:rPr>
        <w:t> Abordagem da escoliose neuromuscular centrada em função, etiologia, equilíbrio sentado, obliquidade pélvica, risco sistêmico e objetivos reais da reconstrução cirúrgica.</w:t>
      </w:r>
    </w:p>
    <w:p w14:paraId="3DAC058F" w14:textId="77777777" w:rsidR="00FE2D2D" w:rsidRPr="00FE2D2D" w:rsidRDefault="00FE2D2D" w:rsidP="00FE2D2D">
      <w:pPr>
        <w:spacing w:before="100" w:beforeAutospacing="1" w:after="100" w:afterAutospacing="1" w:line="240" w:lineRule="auto"/>
        <w:rPr>
          <w:rFonts w:ascii="Times New Roman" w:eastAsia="Times New Roman" w:hAnsi="Times New Roman" w:cs="Times New Roman"/>
          <w:color w:val="000000"/>
          <w:kern w:val="0"/>
          <w14:ligatures w14:val="none"/>
        </w:rPr>
      </w:pPr>
      <w:r w:rsidRPr="00FE2D2D">
        <w:rPr>
          <w:rFonts w:ascii="Times New Roman" w:eastAsia="Times New Roman" w:hAnsi="Times New Roman" w:cs="Times New Roman"/>
          <w:b/>
          <w:bCs/>
          <w:color w:val="000000"/>
          <w:kern w:val="0"/>
          <w14:ligatures w14:val="none"/>
        </w:rPr>
        <w:t>Sugestão de slug:</w:t>
      </w:r>
      <w:r w:rsidRPr="00FE2D2D">
        <w:rPr>
          <w:rFonts w:ascii="Times New Roman" w:eastAsia="Times New Roman" w:hAnsi="Times New Roman" w:cs="Times New Roman"/>
          <w:color w:val="000000"/>
          <w:kern w:val="0"/>
          <w14:ligatures w14:val="none"/>
        </w:rPr>
        <w:t> </w:t>
      </w:r>
      <w:r w:rsidRPr="00FE2D2D">
        <w:rPr>
          <w:rFonts w:ascii="Courier New" w:eastAsia="Times New Roman" w:hAnsi="Courier New" w:cs="Courier New"/>
          <w:color w:val="000000"/>
          <w:kern w:val="0"/>
          <w:sz w:val="20"/>
          <w:szCs w:val="20"/>
          <w14:ligatures w14:val="none"/>
        </w:rPr>
        <w:t>escoliose-neuromuscular</w:t>
      </w:r>
    </w:p>
    <w:p w14:paraId="2B66846B" w14:textId="77777777" w:rsidR="00FE2D2D" w:rsidRDefault="00FE2D2D"/>
    <w:sectPr w:rsidR="00FE2D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3B48BD"/>
    <w:multiLevelType w:val="multilevel"/>
    <w:tmpl w:val="83F4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6C0F23"/>
    <w:multiLevelType w:val="multilevel"/>
    <w:tmpl w:val="B84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07261"/>
    <w:multiLevelType w:val="multilevel"/>
    <w:tmpl w:val="9E9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840069">
    <w:abstractNumId w:val="2"/>
  </w:num>
  <w:num w:numId="2" w16cid:durableId="389884224">
    <w:abstractNumId w:val="0"/>
  </w:num>
  <w:num w:numId="3" w16cid:durableId="13746943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D2D"/>
    <w:rsid w:val="000C385B"/>
    <w:rsid w:val="00923094"/>
    <w:rsid w:val="00DB5164"/>
    <w:rsid w:val="00FE2D2D"/>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AC8D110"/>
  <w15:chartTrackingRefBased/>
  <w15:docId w15:val="{9EDC00BB-1017-BA43-9E34-116373DA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D2D"/>
    <w:rPr>
      <w:rFonts w:eastAsiaTheme="majorEastAsia" w:cstheme="majorBidi"/>
      <w:color w:val="272727" w:themeColor="text1" w:themeTint="D8"/>
    </w:rPr>
  </w:style>
  <w:style w:type="paragraph" w:styleId="Title">
    <w:name w:val="Title"/>
    <w:basedOn w:val="Normal"/>
    <w:next w:val="Normal"/>
    <w:link w:val="TitleChar"/>
    <w:uiPriority w:val="10"/>
    <w:qFormat/>
    <w:rsid w:val="00FE2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D2D"/>
    <w:pPr>
      <w:spacing w:before="160"/>
      <w:jc w:val="center"/>
    </w:pPr>
    <w:rPr>
      <w:i/>
      <w:iCs/>
      <w:color w:val="404040" w:themeColor="text1" w:themeTint="BF"/>
    </w:rPr>
  </w:style>
  <w:style w:type="character" w:customStyle="1" w:styleId="QuoteChar">
    <w:name w:val="Quote Char"/>
    <w:basedOn w:val="DefaultParagraphFont"/>
    <w:link w:val="Quote"/>
    <w:uiPriority w:val="29"/>
    <w:rsid w:val="00FE2D2D"/>
    <w:rPr>
      <w:i/>
      <w:iCs/>
      <w:color w:val="404040" w:themeColor="text1" w:themeTint="BF"/>
    </w:rPr>
  </w:style>
  <w:style w:type="paragraph" w:styleId="ListParagraph">
    <w:name w:val="List Paragraph"/>
    <w:basedOn w:val="Normal"/>
    <w:uiPriority w:val="34"/>
    <w:qFormat/>
    <w:rsid w:val="00FE2D2D"/>
    <w:pPr>
      <w:ind w:left="720"/>
      <w:contextualSpacing/>
    </w:pPr>
  </w:style>
  <w:style w:type="character" w:styleId="IntenseEmphasis">
    <w:name w:val="Intense Emphasis"/>
    <w:basedOn w:val="DefaultParagraphFont"/>
    <w:uiPriority w:val="21"/>
    <w:qFormat/>
    <w:rsid w:val="00FE2D2D"/>
    <w:rPr>
      <w:i/>
      <w:iCs/>
      <w:color w:val="0F4761" w:themeColor="accent1" w:themeShade="BF"/>
    </w:rPr>
  </w:style>
  <w:style w:type="paragraph" w:styleId="IntenseQuote">
    <w:name w:val="Intense Quote"/>
    <w:basedOn w:val="Normal"/>
    <w:next w:val="Normal"/>
    <w:link w:val="IntenseQuoteChar"/>
    <w:uiPriority w:val="30"/>
    <w:qFormat/>
    <w:rsid w:val="00FE2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D2D"/>
    <w:rPr>
      <w:i/>
      <w:iCs/>
      <w:color w:val="0F4761" w:themeColor="accent1" w:themeShade="BF"/>
    </w:rPr>
  </w:style>
  <w:style w:type="character" w:styleId="IntenseReference">
    <w:name w:val="Intense Reference"/>
    <w:basedOn w:val="DefaultParagraphFont"/>
    <w:uiPriority w:val="32"/>
    <w:qFormat/>
    <w:rsid w:val="00FE2D2D"/>
    <w:rPr>
      <w:b/>
      <w:bCs/>
      <w:smallCaps/>
      <w:color w:val="0F4761" w:themeColor="accent1" w:themeShade="BF"/>
      <w:spacing w:val="5"/>
    </w:rPr>
  </w:style>
  <w:style w:type="paragraph" w:styleId="NormalWeb">
    <w:name w:val="Normal (Web)"/>
    <w:basedOn w:val="Normal"/>
    <w:uiPriority w:val="99"/>
    <w:semiHidden/>
    <w:unhideWhenUsed/>
    <w:rsid w:val="00FE2D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2D2D"/>
    <w:rPr>
      <w:b/>
      <w:bCs/>
    </w:rPr>
  </w:style>
  <w:style w:type="character" w:customStyle="1" w:styleId="apple-converted-space">
    <w:name w:val="apple-converted-space"/>
    <w:basedOn w:val="DefaultParagraphFont"/>
    <w:rsid w:val="00FE2D2D"/>
  </w:style>
  <w:style w:type="character" w:styleId="Emphasis">
    <w:name w:val="Emphasis"/>
    <w:basedOn w:val="DefaultParagraphFont"/>
    <w:uiPriority w:val="20"/>
    <w:qFormat/>
    <w:rsid w:val="00FE2D2D"/>
    <w:rPr>
      <w:i/>
      <w:iCs/>
    </w:rPr>
  </w:style>
  <w:style w:type="character" w:styleId="Hyperlink">
    <w:name w:val="Hyperlink"/>
    <w:basedOn w:val="DefaultParagraphFont"/>
    <w:uiPriority w:val="99"/>
    <w:semiHidden/>
    <w:unhideWhenUsed/>
    <w:rsid w:val="00FE2D2D"/>
    <w:rPr>
      <w:color w:val="0000FF"/>
      <w:u w:val="single"/>
    </w:rPr>
  </w:style>
  <w:style w:type="character" w:styleId="HTMLCode">
    <w:name w:val="HTML Code"/>
    <w:basedOn w:val="DefaultParagraphFont"/>
    <w:uiPriority w:val="99"/>
    <w:semiHidden/>
    <w:unhideWhenUsed/>
    <w:rsid w:val="00FE2D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3408</Words>
  <Characters>21678</Characters>
  <Application>Microsoft Office Word</Application>
  <DocSecurity>0</DocSecurity>
  <Lines>387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2026-08-20T19:12:00Z</dcterms:created>
  <dcterms:modified xsi:type="dcterms:W3CDTF">2026-08-20T20:50:00Z</dcterms:modified>
</cp:coreProperties>
</file>