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DE5F1C" w14:textId="77777777" w:rsidR="005B2629" w:rsidRPr="005B2629" w:rsidRDefault="005B2629" w:rsidP="005B26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B2629">
        <w:rPr>
          <w:rFonts w:ascii="Times New Roman" w:eastAsia="Times New Roman" w:hAnsi="Times New Roman" w:cs="Times New Roman"/>
          <w:b/>
          <w:bCs/>
          <w:color w:val="000000"/>
          <w:kern w:val="36"/>
          <w:sz w:val="48"/>
          <w:szCs w:val="48"/>
          <w14:ligatures w14:val="none"/>
        </w:rPr>
        <w:t>Capítulo 31 — Deformidades nos Disrafismos Espinhais</w:t>
      </w:r>
    </w:p>
    <w:p w14:paraId="3FF3B53A" w14:textId="77777777" w:rsidR="005B2629" w:rsidRPr="005B2629" w:rsidRDefault="005B2629" w:rsidP="005B262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B2629">
        <w:rPr>
          <w:rFonts w:ascii="Times New Roman" w:eastAsia="Times New Roman" w:hAnsi="Times New Roman" w:cs="Times New Roman"/>
          <w:b/>
          <w:bCs/>
          <w:color w:val="000000"/>
          <w:kern w:val="0"/>
          <w:sz w:val="36"/>
          <w:szCs w:val="36"/>
          <w14:ligatures w14:val="none"/>
        </w:rPr>
        <w:t>Identificação</w:t>
      </w:r>
    </w:p>
    <w:p w14:paraId="037C35E2" w14:textId="7B38336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b/>
          <w:bCs/>
          <w:color w:val="000000"/>
          <w:kern w:val="0"/>
          <w14:ligatures w14:val="none"/>
        </w:rPr>
        <w:t>Número do capítulo:</w:t>
      </w:r>
      <w:r w:rsidRPr="005B2629">
        <w:rPr>
          <w:rFonts w:ascii="Times New Roman" w:eastAsia="Times New Roman" w:hAnsi="Times New Roman" w:cs="Times New Roman"/>
          <w:color w:val="000000"/>
          <w:kern w:val="0"/>
          <w14:ligatures w14:val="none"/>
        </w:rPr>
        <w:t> 31</w:t>
      </w:r>
      <w:r w:rsidRPr="005B2629">
        <w:rPr>
          <w:rFonts w:ascii="Times New Roman" w:eastAsia="Times New Roman" w:hAnsi="Times New Roman" w:cs="Times New Roman"/>
          <w:color w:val="000000"/>
          <w:kern w:val="0"/>
          <w14:ligatures w14:val="none"/>
        </w:rPr>
        <w:br/>
      </w:r>
      <w:r w:rsidRPr="005B2629">
        <w:rPr>
          <w:rFonts w:ascii="Times New Roman" w:eastAsia="Times New Roman" w:hAnsi="Times New Roman" w:cs="Times New Roman"/>
          <w:b/>
          <w:bCs/>
          <w:color w:val="000000"/>
          <w:kern w:val="0"/>
          <w14:ligatures w14:val="none"/>
        </w:rPr>
        <w:t>Título completo:</w:t>
      </w:r>
      <w:r w:rsidRPr="005B2629">
        <w:rPr>
          <w:rFonts w:ascii="Times New Roman" w:eastAsia="Times New Roman" w:hAnsi="Times New Roman" w:cs="Times New Roman"/>
          <w:color w:val="000000"/>
          <w:kern w:val="0"/>
          <w14:ligatures w14:val="none"/>
        </w:rPr>
        <w:t> Deformidades nos Disrafismos Espinhais</w:t>
      </w:r>
      <w:r w:rsidRPr="005B2629">
        <w:rPr>
          <w:rFonts w:ascii="Times New Roman" w:eastAsia="Times New Roman" w:hAnsi="Times New Roman" w:cs="Times New Roman"/>
          <w:color w:val="000000"/>
          <w:kern w:val="0"/>
          <w14:ligatures w14:val="none"/>
        </w:rPr>
        <w:br/>
      </w:r>
      <w:r w:rsidRPr="005B2629">
        <w:rPr>
          <w:rFonts w:ascii="Times New Roman" w:eastAsia="Times New Roman" w:hAnsi="Times New Roman" w:cs="Times New Roman"/>
          <w:b/>
          <w:bCs/>
          <w:color w:val="000000"/>
          <w:kern w:val="0"/>
          <w14:ligatures w14:val="none"/>
        </w:rPr>
        <w:t>Seção do Tratado:</w:t>
      </w:r>
      <w:r w:rsidRPr="005B2629">
        <w:rPr>
          <w:rFonts w:ascii="Times New Roman" w:eastAsia="Times New Roman" w:hAnsi="Times New Roman" w:cs="Times New Roman"/>
          <w:color w:val="000000"/>
          <w:kern w:val="0"/>
          <w14:ligatures w14:val="none"/>
        </w:rPr>
        <w:t> </w:t>
      </w:r>
      <w:r>
        <w:rPr>
          <w:rFonts w:ascii="Times New Roman" w:eastAsia="Times New Roman" w:hAnsi="Times New Roman" w:cs="Times New Roman"/>
          <w:color w:val="000000"/>
          <w:kern w:val="0"/>
          <w14:ligatures w14:val="none"/>
        </w:rPr>
        <w:t>4</w:t>
      </w:r>
      <w:r w:rsidRPr="005B2629">
        <w:rPr>
          <w:rFonts w:ascii="Times New Roman" w:eastAsia="Times New Roman" w:hAnsi="Times New Roman" w:cs="Times New Roman"/>
          <w:color w:val="000000"/>
          <w:kern w:val="0"/>
          <w14:ligatures w14:val="none"/>
        </w:rPr>
        <w:t>.</w:t>
      </w:r>
    </w:p>
    <w:p w14:paraId="4F2BE156"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b/>
          <w:bCs/>
          <w:color w:val="000000"/>
          <w:kern w:val="0"/>
          <w14:ligatures w14:val="none"/>
        </w:rPr>
        <w:t>Autores</w:t>
      </w:r>
    </w:p>
    <w:p w14:paraId="61708FF5" w14:textId="77777777" w:rsidR="005B2629" w:rsidRPr="005B2629" w:rsidRDefault="005B2629" w:rsidP="005B262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Paulo Tadeu Maia Cavali</w:t>
      </w:r>
    </w:p>
    <w:p w14:paraId="364FA38A" w14:textId="77777777" w:rsidR="005B2629" w:rsidRPr="005B2629" w:rsidRDefault="005B2629" w:rsidP="005B262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Mauricio Coelho Lima</w:t>
      </w:r>
    </w:p>
    <w:p w14:paraId="2841B070" w14:textId="77777777" w:rsidR="005B2629" w:rsidRPr="005B2629" w:rsidRDefault="005B2629" w:rsidP="005B262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Alexander Junqueira Rossato</w:t>
      </w:r>
    </w:p>
    <w:p w14:paraId="42DC1497"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b/>
          <w:bCs/>
          <w:color w:val="000000"/>
          <w:kern w:val="0"/>
          <w14:ligatures w14:val="none"/>
        </w:rPr>
        <w:t>Nota editorial para o site</w:t>
      </w:r>
      <w:r w:rsidRPr="005B2629">
        <w:rPr>
          <w:rFonts w:ascii="Times New Roman" w:eastAsia="Times New Roman" w:hAnsi="Times New Roman" w:cs="Times New Roman"/>
          <w:color w:val="000000"/>
          <w:kern w:val="0"/>
          <w14:ligatures w14:val="none"/>
        </w:rPr>
        <w:br/>
        <w:t>Esta página apresenta os conceitos essenciais do capítulo. Limiares quantitativos, parâmetros de avaliação pré-operatória, detalhes de cifosectomia, técnicas de fixação espinopélvica, protocolos de tração e características específicas dos sistemas de crescimento permanecem reservados ao conteúdo integral do </w:t>
      </w:r>
      <w:r w:rsidRPr="005B2629">
        <w:rPr>
          <w:rFonts w:ascii="Times New Roman" w:eastAsia="Times New Roman" w:hAnsi="Times New Roman" w:cs="Times New Roman"/>
          <w:i/>
          <w:iCs/>
          <w:color w:val="000000"/>
          <w:kern w:val="0"/>
          <w14:ligatures w14:val="none"/>
        </w:rPr>
        <w:t>Tratado de Cirurgia da Coluna</w:t>
      </w:r>
      <w:r w:rsidRPr="005B2629">
        <w:rPr>
          <w:rFonts w:ascii="Times New Roman" w:eastAsia="Times New Roman" w:hAnsi="Times New Roman" w:cs="Times New Roman"/>
          <w:color w:val="000000"/>
          <w:kern w:val="0"/>
          <w14:ligatures w14:val="none"/>
        </w:rPr>
        <w:t>.</w:t>
      </w:r>
    </w:p>
    <w:p w14:paraId="100EB734" w14:textId="77777777" w:rsidR="005B2629" w:rsidRPr="005B2629" w:rsidRDefault="00D97B59" w:rsidP="005B2629">
      <w:pPr>
        <w:spacing w:after="0" w:line="240" w:lineRule="auto"/>
        <w:rPr>
          <w:rFonts w:ascii="Times New Roman" w:eastAsia="Times New Roman" w:hAnsi="Times New Roman" w:cs="Times New Roman"/>
          <w:kern w:val="0"/>
          <w14:ligatures w14:val="none"/>
        </w:rPr>
      </w:pPr>
      <w:r w:rsidRPr="00D97B59">
        <w:rPr>
          <w:rFonts w:ascii="Times New Roman" w:eastAsia="Times New Roman" w:hAnsi="Times New Roman" w:cs="Times New Roman"/>
          <w:noProof/>
          <w:kern w:val="0"/>
        </w:rPr>
        <w:pict w14:anchorId="3379F6D3">
          <v:rect id="_x0000_i1036" alt="" style="width:468pt;height:.05pt;mso-width-percent:0;mso-height-percent:0;mso-width-percent:0;mso-height-percent:0" o:hralign="center" o:hrstd="t" o:hr="t" fillcolor="#a0a0a0" stroked="f"/>
        </w:pict>
      </w:r>
    </w:p>
    <w:p w14:paraId="1F971145" w14:textId="77777777" w:rsidR="005B2629" w:rsidRPr="005B2629" w:rsidRDefault="005B2629" w:rsidP="005B262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B2629">
        <w:rPr>
          <w:rFonts w:ascii="Times New Roman" w:eastAsia="Times New Roman" w:hAnsi="Times New Roman" w:cs="Times New Roman"/>
          <w:b/>
          <w:bCs/>
          <w:color w:val="000000"/>
          <w:kern w:val="0"/>
          <w:sz w:val="36"/>
          <w:szCs w:val="36"/>
          <w14:ligatures w14:val="none"/>
        </w:rPr>
        <w:t>Contexto</w:t>
      </w:r>
    </w:p>
    <w:p w14:paraId="017E5392"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Os disrafismos espinhais constituem um espectro de malformações congênitas decorrentes de alterações no fechamento da linha média e podem comprometer medula espinal, vértebras e tecidos adjacentes. Nas formas abertas, especialmente na mielomeningocele, deformidades vertebrais precoces e complexas são frequentes; nos disrafismos fechados, alterações como medula presa, diastematomielia e lipomas podem produzir deformidade progressiva de instalação mais insidiosa. Escoliose, cifose, cifoescoliose e obliquidade pélvica resultam da interação entre malformações ósseas, ausência de elementos posteriores, comprometimento neurológico, desequilíbrio muscular e crescimento assimétrico. Essas deformidades afetam não apenas a aparência da coluna, mas também o equilíbrio sentado, a ventilação, a integridade da pele, a utilização de órteses e a autonomia funcional. O manejo é particularmente desafiador porque alterações do neuroeixo, urológicas, respiratórias, cutâneas e nutricionais frequentemente coexistem e modificam substancialmente o risco e os objetivos do tratamento.</w:t>
      </w:r>
    </w:p>
    <w:p w14:paraId="6658B0CC" w14:textId="77777777" w:rsidR="005B2629" w:rsidRPr="005B2629" w:rsidRDefault="00D97B59" w:rsidP="005B2629">
      <w:pPr>
        <w:spacing w:after="0" w:line="240" w:lineRule="auto"/>
        <w:rPr>
          <w:rFonts w:ascii="Times New Roman" w:eastAsia="Times New Roman" w:hAnsi="Times New Roman" w:cs="Times New Roman"/>
          <w:kern w:val="0"/>
          <w14:ligatures w14:val="none"/>
        </w:rPr>
      </w:pPr>
      <w:r w:rsidRPr="00D97B59">
        <w:rPr>
          <w:rFonts w:ascii="Times New Roman" w:eastAsia="Times New Roman" w:hAnsi="Times New Roman" w:cs="Times New Roman"/>
          <w:noProof/>
          <w:kern w:val="0"/>
        </w:rPr>
        <w:pict w14:anchorId="57CF2462">
          <v:rect id="_x0000_i1035" style="width:0;height:1.5pt" o:hralign="center" o:hrstd="t" o:hr="t" fillcolor="#a0a0a0" stroked="f"/>
        </w:pict>
      </w:r>
    </w:p>
    <w:p w14:paraId="73837B1E" w14:textId="77777777" w:rsidR="005B2629" w:rsidRPr="005B2629" w:rsidRDefault="005B2629" w:rsidP="005B262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B2629">
        <w:rPr>
          <w:rFonts w:ascii="Times New Roman" w:eastAsia="Times New Roman" w:hAnsi="Times New Roman" w:cs="Times New Roman"/>
          <w:b/>
          <w:bCs/>
          <w:color w:val="000000"/>
          <w:kern w:val="0"/>
          <w:sz w:val="36"/>
          <w:szCs w:val="36"/>
          <w14:ligatures w14:val="none"/>
        </w:rPr>
        <w:t>Objetivo do capítulo</w:t>
      </w:r>
    </w:p>
    <w:p w14:paraId="1617209E"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lastRenderedPageBreak/>
        <w:t>Apresentar os mecanismos responsáveis pelas deformidades vertebrais associadas aos disrafismos espinhais e organizar sua avaliação clínica, funcional e radiológica. O leitor deverá reconhecer os principais padrões de escoliose e cifose, compreender a influência do nível neurológico e da obliquidade pélvica, identificar condições associadas relevantes e compreender os princípios que orientam tratamento conservador, cifosectomia, artrodese longa, fixação espinopélvica e estratégias de preservação do crescimento.</w:t>
      </w:r>
    </w:p>
    <w:p w14:paraId="104B0479" w14:textId="77777777" w:rsidR="005B2629" w:rsidRPr="005B2629" w:rsidRDefault="00D97B59" w:rsidP="005B2629">
      <w:pPr>
        <w:spacing w:after="0" w:line="240" w:lineRule="auto"/>
        <w:rPr>
          <w:rFonts w:ascii="Times New Roman" w:eastAsia="Times New Roman" w:hAnsi="Times New Roman" w:cs="Times New Roman"/>
          <w:kern w:val="0"/>
          <w14:ligatures w14:val="none"/>
        </w:rPr>
      </w:pPr>
      <w:r w:rsidRPr="00D97B59">
        <w:rPr>
          <w:rFonts w:ascii="Times New Roman" w:eastAsia="Times New Roman" w:hAnsi="Times New Roman" w:cs="Times New Roman"/>
          <w:noProof/>
          <w:kern w:val="0"/>
        </w:rPr>
        <w:pict w14:anchorId="3F236CD1">
          <v:rect id="_x0000_i1034" style="width:0;height:1.5pt" o:hralign="center" o:hrstd="t" o:hr="t" fillcolor="#a0a0a0" stroked="f"/>
        </w:pict>
      </w:r>
    </w:p>
    <w:p w14:paraId="28F75CD7" w14:textId="77777777" w:rsidR="005B2629" w:rsidRPr="005B2629" w:rsidRDefault="005B2629" w:rsidP="005B26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B2629">
        <w:rPr>
          <w:rFonts w:ascii="Times New Roman" w:eastAsia="Times New Roman" w:hAnsi="Times New Roman" w:cs="Times New Roman"/>
          <w:b/>
          <w:bCs/>
          <w:color w:val="000000"/>
          <w:kern w:val="36"/>
          <w:sz w:val="48"/>
          <w:szCs w:val="48"/>
          <w14:ligatures w14:val="none"/>
        </w:rPr>
        <w:t>Conteúdo principal</w:t>
      </w:r>
    </w:p>
    <w:p w14:paraId="34B17780" w14:textId="77777777" w:rsidR="005B2629" w:rsidRPr="005B2629" w:rsidRDefault="005B2629" w:rsidP="005B26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B2629">
        <w:rPr>
          <w:rFonts w:ascii="Times New Roman" w:eastAsia="Times New Roman" w:hAnsi="Times New Roman" w:cs="Times New Roman"/>
          <w:b/>
          <w:bCs/>
          <w:color w:val="000000"/>
          <w:kern w:val="0"/>
          <w:sz w:val="27"/>
          <w:szCs w:val="27"/>
          <w14:ligatures w14:val="none"/>
        </w:rPr>
        <w:t>Disrafismo, neurologia e deformidade</w:t>
      </w:r>
    </w:p>
    <w:p w14:paraId="174249B6"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O capítulo diferencia disrafismos </w:t>
      </w:r>
      <w:r w:rsidRPr="005B2629">
        <w:rPr>
          <w:rFonts w:ascii="Times New Roman" w:eastAsia="Times New Roman" w:hAnsi="Times New Roman" w:cs="Times New Roman"/>
          <w:b/>
          <w:bCs/>
          <w:color w:val="000000"/>
          <w:kern w:val="0"/>
          <w14:ligatures w14:val="none"/>
        </w:rPr>
        <w:t>abertos</w:t>
      </w:r>
      <w:r w:rsidRPr="005B2629">
        <w:rPr>
          <w:rFonts w:ascii="Times New Roman" w:eastAsia="Times New Roman" w:hAnsi="Times New Roman" w:cs="Times New Roman"/>
          <w:color w:val="000000"/>
          <w:kern w:val="0"/>
          <w14:ligatures w14:val="none"/>
        </w:rPr>
        <w:t> e </w:t>
      </w:r>
      <w:r w:rsidRPr="005B2629">
        <w:rPr>
          <w:rFonts w:ascii="Times New Roman" w:eastAsia="Times New Roman" w:hAnsi="Times New Roman" w:cs="Times New Roman"/>
          <w:b/>
          <w:bCs/>
          <w:color w:val="000000"/>
          <w:kern w:val="0"/>
          <w14:ligatures w14:val="none"/>
        </w:rPr>
        <w:t>fechados</w:t>
      </w:r>
      <w:r w:rsidRPr="005B2629">
        <w:rPr>
          <w:rFonts w:ascii="Times New Roman" w:eastAsia="Times New Roman" w:hAnsi="Times New Roman" w:cs="Times New Roman"/>
          <w:color w:val="000000"/>
          <w:kern w:val="0"/>
          <w14:ligatures w14:val="none"/>
        </w:rPr>
        <w:t>, organização apresentada na </w:t>
      </w:r>
      <w:r w:rsidRPr="005B2629">
        <w:rPr>
          <w:rFonts w:ascii="Times New Roman" w:eastAsia="Times New Roman" w:hAnsi="Times New Roman" w:cs="Times New Roman"/>
          <w:b/>
          <w:bCs/>
          <w:color w:val="000000"/>
          <w:kern w:val="0"/>
          <w14:ligatures w14:val="none"/>
        </w:rPr>
        <w:t>Figura 1</w:t>
      </w:r>
      <w:r w:rsidRPr="005B2629">
        <w:rPr>
          <w:rFonts w:ascii="Times New Roman" w:eastAsia="Times New Roman" w:hAnsi="Times New Roman" w:cs="Times New Roman"/>
          <w:color w:val="000000"/>
          <w:kern w:val="0"/>
          <w14:ligatures w14:val="none"/>
        </w:rPr>
        <w:t>. A mielomeningocele representa a forma aberta de maior relevância clínica, enquanto os disrafismos fechados incluem alterações com diferentes graus de comprometimento neural e estrutural.</w:t>
      </w:r>
    </w:p>
    <w:p w14:paraId="65128748"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A fisiopatologia das deformidades resulta de três componentes interdependentes: </w:t>
      </w:r>
      <w:r w:rsidRPr="005B2629">
        <w:rPr>
          <w:rFonts w:ascii="Times New Roman" w:eastAsia="Times New Roman" w:hAnsi="Times New Roman" w:cs="Times New Roman"/>
          <w:b/>
          <w:bCs/>
          <w:color w:val="000000"/>
          <w:kern w:val="0"/>
          <w14:ligatures w14:val="none"/>
        </w:rPr>
        <w:t>instabilidade estrutural, desequilíbrio neuromuscular e crescimento vertebral assimétrico</w:t>
      </w:r>
      <w:r w:rsidRPr="005B2629">
        <w:rPr>
          <w:rFonts w:ascii="Times New Roman" w:eastAsia="Times New Roman" w:hAnsi="Times New Roman" w:cs="Times New Roman"/>
          <w:color w:val="000000"/>
          <w:kern w:val="0"/>
          <w14:ligatures w14:val="none"/>
        </w:rPr>
        <w:t>. A ausência ou hipoplasia de elementos posteriores reduz a estabilidade passiva; a denervação muscular compromete o controle ativo do tronco; e o crescimento sobre uma coluna assimétrica consolida progressivamente a deformidade. Medula presa, siringomielia, malformação de Chiari e hidrocefalia acrescentam fatores capazes de modificar função e progressão.</w:t>
      </w:r>
    </w:p>
    <w:p w14:paraId="12DCCFE4" w14:textId="77777777" w:rsidR="005B2629" w:rsidRPr="005B2629" w:rsidRDefault="005B2629" w:rsidP="005B26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B2629">
        <w:rPr>
          <w:rFonts w:ascii="Times New Roman" w:eastAsia="Times New Roman" w:hAnsi="Times New Roman" w:cs="Times New Roman"/>
          <w:b/>
          <w:bCs/>
          <w:color w:val="000000"/>
          <w:kern w:val="0"/>
          <w:sz w:val="27"/>
          <w:szCs w:val="27"/>
          <w14:ligatures w14:val="none"/>
        </w:rPr>
        <w:t>Padrões de deformidade</w:t>
      </w:r>
    </w:p>
    <w:p w14:paraId="3C202589"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A cifose angular rígida de raio curto é característica dos pacientes mais comprometidos com mielomeningocele e pode estar presente desde o nascimento. A </w:t>
      </w:r>
      <w:r w:rsidRPr="005B2629">
        <w:rPr>
          <w:rFonts w:ascii="Times New Roman" w:eastAsia="Times New Roman" w:hAnsi="Times New Roman" w:cs="Times New Roman"/>
          <w:b/>
          <w:bCs/>
          <w:color w:val="000000"/>
          <w:kern w:val="0"/>
          <w14:ligatures w14:val="none"/>
        </w:rPr>
        <w:t>Figura 2</w:t>
      </w:r>
      <w:r w:rsidRPr="005B2629">
        <w:rPr>
          <w:rFonts w:ascii="Times New Roman" w:eastAsia="Times New Roman" w:hAnsi="Times New Roman" w:cs="Times New Roman"/>
          <w:color w:val="000000"/>
          <w:kern w:val="0"/>
          <w14:ligatures w14:val="none"/>
        </w:rPr>
        <w:t> demonstra sua progressão quando não tratada. Cifoses de raio longo e cifoescolioses também podem ocorrer.</w:t>
      </w:r>
    </w:p>
    <w:p w14:paraId="384CCC17"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A escoliose frequentemente assume padrão longo em “C”, ilustrado na </w:t>
      </w:r>
      <w:r w:rsidRPr="005B2629">
        <w:rPr>
          <w:rFonts w:ascii="Times New Roman" w:eastAsia="Times New Roman" w:hAnsi="Times New Roman" w:cs="Times New Roman"/>
          <w:b/>
          <w:bCs/>
          <w:color w:val="000000"/>
          <w:kern w:val="0"/>
          <w14:ligatures w14:val="none"/>
        </w:rPr>
        <w:t>Figura 3</w:t>
      </w:r>
      <w:r w:rsidRPr="005B2629">
        <w:rPr>
          <w:rFonts w:ascii="Times New Roman" w:eastAsia="Times New Roman" w:hAnsi="Times New Roman" w:cs="Times New Roman"/>
          <w:color w:val="000000"/>
          <w:kern w:val="0"/>
          <w14:ligatures w14:val="none"/>
        </w:rPr>
        <w:t>, e pode associar-se a obliquidade pélvica importante. Nos disrafismos fechados, curvas semelhantes podem aparecer progressivamente em associação à tração medular ou à assimetria neurológica.</w:t>
      </w:r>
    </w:p>
    <w:p w14:paraId="753E6798"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O nível motor funcional modifica o comportamento: quanto mais proximal o comprometimento, menores tendem a ser o controle do tronco e a capacidade de compensação, com maior probabilidade de deformidades estruturadas e dificuldade de posicionamento.</w:t>
      </w:r>
    </w:p>
    <w:p w14:paraId="761918DE" w14:textId="77777777" w:rsidR="005B2629" w:rsidRPr="005B2629" w:rsidRDefault="005B2629" w:rsidP="005B26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B2629">
        <w:rPr>
          <w:rFonts w:ascii="Times New Roman" w:eastAsia="Times New Roman" w:hAnsi="Times New Roman" w:cs="Times New Roman"/>
          <w:b/>
          <w:bCs/>
          <w:color w:val="000000"/>
          <w:kern w:val="0"/>
          <w:sz w:val="27"/>
          <w:szCs w:val="27"/>
          <w14:ligatures w14:val="none"/>
        </w:rPr>
        <w:t>O paciente além da coluna</w:t>
      </w:r>
    </w:p>
    <w:p w14:paraId="3BDBF702"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A avaliação precisa incorporar quadris, joelhos e pés, bem como condições neurológicas e neurocirúrgicas. Hidrocefalia, disfunção de derivação, siringomielia e medula presa podem modificar a apresentação clínica e precisam ser reconhecidas antes de atribuir uma piora funcional exclusivamente à deformidade.</w:t>
      </w:r>
    </w:p>
    <w:p w14:paraId="009FD309"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lastRenderedPageBreak/>
        <w:t>Disfunções urinárias e intestinais, alterações respiratórias, integridade cutânea e estado nutricional são igualmente relevantes. A </w:t>
      </w:r>
      <w:r w:rsidRPr="005B2629">
        <w:rPr>
          <w:rFonts w:ascii="Times New Roman" w:eastAsia="Times New Roman" w:hAnsi="Times New Roman" w:cs="Times New Roman"/>
          <w:b/>
          <w:bCs/>
          <w:color w:val="000000"/>
          <w:kern w:val="0"/>
          <w14:ligatures w14:val="none"/>
        </w:rPr>
        <w:t>Figura 6</w:t>
      </w:r>
      <w:r w:rsidRPr="005B2629">
        <w:rPr>
          <w:rFonts w:ascii="Times New Roman" w:eastAsia="Times New Roman" w:hAnsi="Times New Roman" w:cs="Times New Roman"/>
          <w:color w:val="000000"/>
          <w:kern w:val="0"/>
          <w14:ligatures w14:val="none"/>
        </w:rPr>
        <w:t> demonstra uma consequência particularmente importante da cifose grave: ulceração sobre o ápice da deformidade. O capítulo também enfatiza a elevada frequência de sensibilização ao látex nessa população e a necessidade de ambiente perioperatório apropriado.</w:t>
      </w:r>
    </w:p>
    <w:p w14:paraId="0E6FA271" w14:textId="77777777" w:rsidR="005B2629" w:rsidRPr="005B2629" w:rsidRDefault="005B2629" w:rsidP="005B26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B2629">
        <w:rPr>
          <w:rFonts w:ascii="Times New Roman" w:eastAsia="Times New Roman" w:hAnsi="Times New Roman" w:cs="Times New Roman"/>
          <w:b/>
          <w:bCs/>
          <w:color w:val="000000"/>
          <w:kern w:val="0"/>
          <w:sz w:val="27"/>
          <w:szCs w:val="27"/>
          <w14:ligatures w14:val="none"/>
        </w:rPr>
        <w:t>Avaliação clínica e por imagem</w:t>
      </w:r>
    </w:p>
    <w:p w14:paraId="6BB775EF"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Radiografias panorâmicas devem representar a postura funcional do paciente — em ortostase ou sentado, conforme sua capacidade — e podem ser complementadas por estudos de flexibilidade, como exemplifica a </w:t>
      </w:r>
      <w:r w:rsidRPr="005B2629">
        <w:rPr>
          <w:rFonts w:ascii="Times New Roman" w:eastAsia="Times New Roman" w:hAnsi="Times New Roman" w:cs="Times New Roman"/>
          <w:b/>
          <w:bCs/>
          <w:color w:val="000000"/>
          <w:kern w:val="0"/>
          <w14:ligatures w14:val="none"/>
        </w:rPr>
        <w:t>Figura 7</w:t>
      </w:r>
      <w:r w:rsidRPr="005B2629">
        <w:rPr>
          <w:rFonts w:ascii="Times New Roman" w:eastAsia="Times New Roman" w:hAnsi="Times New Roman" w:cs="Times New Roman"/>
          <w:color w:val="000000"/>
          <w:kern w:val="0"/>
          <w14:ligatures w14:val="none"/>
        </w:rPr>
        <w:t>.</w:t>
      </w:r>
    </w:p>
    <w:p w14:paraId="78342F98"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A tomografia computadorizada com reconstrução tridimensional auxilia em anatomias ósseas complexas e no planejamento das ancoragens (</w:t>
      </w:r>
      <w:r w:rsidRPr="005B2629">
        <w:rPr>
          <w:rFonts w:ascii="Times New Roman" w:eastAsia="Times New Roman" w:hAnsi="Times New Roman" w:cs="Times New Roman"/>
          <w:b/>
          <w:bCs/>
          <w:color w:val="000000"/>
          <w:kern w:val="0"/>
          <w14:ligatures w14:val="none"/>
        </w:rPr>
        <w:t>Figura 8</w:t>
      </w:r>
      <w:r w:rsidRPr="005B2629">
        <w:rPr>
          <w:rFonts w:ascii="Times New Roman" w:eastAsia="Times New Roman" w:hAnsi="Times New Roman" w:cs="Times New Roman"/>
          <w:color w:val="000000"/>
          <w:kern w:val="0"/>
          <w14:ligatures w14:val="none"/>
        </w:rPr>
        <w:t>). A ressonância magnética avalia o neuroeixo e assume papel especial quando existe regressão funcional, progressão inesperada, alterações esfincterianas ou suspeita de medula presa, siringomielia ou outras alterações associadas (</w:t>
      </w:r>
      <w:r w:rsidRPr="005B2629">
        <w:rPr>
          <w:rFonts w:ascii="Times New Roman" w:eastAsia="Times New Roman" w:hAnsi="Times New Roman" w:cs="Times New Roman"/>
          <w:b/>
          <w:bCs/>
          <w:color w:val="000000"/>
          <w:kern w:val="0"/>
          <w14:ligatures w14:val="none"/>
        </w:rPr>
        <w:t>Figura 9</w:t>
      </w:r>
      <w:r w:rsidRPr="005B2629">
        <w:rPr>
          <w:rFonts w:ascii="Times New Roman" w:eastAsia="Times New Roman" w:hAnsi="Times New Roman" w:cs="Times New Roman"/>
          <w:color w:val="000000"/>
          <w:kern w:val="0"/>
          <w14:ligatures w14:val="none"/>
        </w:rPr>
        <w:t>).</w:t>
      </w:r>
    </w:p>
    <w:p w14:paraId="0512D3AE" w14:textId="77777777" w:rsidR="005B2629" w:rsidRPr="005B2629" w:rsidRDefault="005B2629" w:rsidP="005B26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B2629">
        <w:rPr>
          <w:rFonts w:ascii="Times New Roman" w:eastAsia="Times New Roman" w:hAnsi="Times New Roman" w:cs="Times New Roman"/>
          <w:b/>
          <w:bCs/>
          <w:color w:val="000000"/>
          <w:kern w:val="0"/>
          <w:sz w:val="27"/>
          <w:szCs w:val="27"/>
          <w14:ligatures w14:val="none"/>
        </w:rPr>
        <w:t>Tratamento orientado à função</w:t>
      </w:r>
    </w:p>
    <w:p w14:paraId="3E4F7E9F"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Fisioterapia, posicionamento e adequação da cadeira de rodas podem melhorar conforto, função e distribuição das pressões, embora não corrijam deformidades estruturadas importantes. O uso de coletes é apresentado como limitado e altamente individualizado devido à rigidez das curvas, alterações sensitivas e risco cutâneo.</w:t>
      </w:r>
    </w:p>
    <w:p w14:paraId="0AB96D63"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Quando o tratamento cirúrgico é necessário, o capítulo descreve três grandes estratégias: </w:t>
      </w:r>
      <w:r w:rsidRPr="005B2629">
        <w:rPr>
          <w:rFonts w:ascii="Times New Roman" w:eastAsia="Times New Roman" w:hAnsi="Times New Roman" w:cs="Times New Roman"/>
          <w:b/>
          <w:bCs/>
          <w:color w:val="000000"/>
          <w:kern w:val="0"/>
          <w14:ligatures w14:val="none"/>
        </w:rPr>
        <w:t>cifosectomia para determinadas cifoses angulares graves</w:t>
      </w:r>
      <w:r w:rsidRPr="005B2629">
        <w:rPr>
          <w:rFonts w:ascii="Times New Roman" w:eastAsia="Times New Roman" w:hAnsi="Times New Roman" w:cs="Times New Roman"/>
          <w:color w:val="000000"/>
          <w:kern w:val="0"/>
          <w14:ligatures w14:val="none"/>
        </w:rPr>
        <w:t>, </w:t>
      </w:r>
      <w:r w:rsidRPr="005B2629">
        <w:rPr>
          <w:rFonts w:ascii="Times New Roman" w:eastAsia="Times New Roman" w:hAnsi="Times New Roman" w:cs="Times New Roman"/>
          <w:b/>
          <w:bCs/>
          <w:color w:val="000000"/>
          <w:kern w:val="0"/>
          <w14:ligatures w14:val="none"/>
        </w:rPr>
        <w:t>artrodese posterior longa com eventual extensão à pelve</w:t>
      </w:r>
      <w:r w:rsidRPr="005B2629">
        <w:rPr>
          <w:rFonts w:ascii="Times New Roman" w:eastAsia="Times New Roman" w:hAnsi="Times New Roman" w:cs="Times New Roman"/>
          <w:color w:val="000000"/>
          <w:kern w:val="0"/>
          <w14:ligatures w14:val="none"/>
        </w:rPr>
        <w:t> e </w:t>
      </w:r>
      <w:r w:rsidRPr="005B2629">
        <w:rPr>
          <w:rFonts w:ascii="Times New Roman" w:eastAsia="Times New Roman" w:hAnsi="Times New Roman" w:cs="Times New Roman"/>
          <w:b/>
          <w:bCs/>
          <w:color w:val="000000"/>
          <w:kern w:val="0"/>
          <w14:ligatures w14:val="none"/>
        </w:rPr>
        <w:t>sistemas de crescimento para pacientes selecionados ainda imaturos</w:t>
      </w:r>
      <w:r w:rsidRPr="005B2629">
        <w:rPr>
          <w:rFonts w:ascii="Times New Roman" w:eastAsia="Times New Roman" w:hAnsi="Times New Roman" w:cs="Times New Roman"/>
          <w:color w:val="000000"/>
          <w:kern w:val="0"/>
          <w14:ligatures w14:val="none"/>
        </w:rPr>
        <w:t>. As Figuras 11 a 13 exemplificam essas reconstruções. A escolha depende de morfologia, flexibilidade, nível neurológico, função, pele, qualidade óssea e crescimento remanescente.</w:t>
      </w:r>
    </w:p>
    <w:p w14:paraId="06A6175B" w14:textId="77777777" w:rsidR="005B2629" w:rsidRPr="005B2629" w:rsidRDefault="00D97B59" w:rsidP="005B2629">
      <w:pPr>
        <w:spacing w:after="0" w:line="240" w:lineRule="auto"/>
        <w:rPr>
          <w:rFonts w:ascii="Times New Roman" w:eastAsia="Times New Roman" w:hAnsi="Times New Roman" w:cs="Times New Roman"/>
          <w:kern w:val="0"/>
          <w14:ligatures w14:val="none"/>
        </w:rPr>
      </w:pPr>
      <w:r w:rsidRPr="00D97B59">
        <w:rPr>
          <w:rFonts w:ascii="Times New Roman" w:eastAsia="Times New Roman" w:hAnsi="Times New Roman" w:cs="Times New Roman"/>
          <w:noProof/>
          <w:kern w:val="0"/>
        </w:rPr>
        <w:pict w14:anchorId="5FA0288F">
          <v:rect id="_x0000_i1033" style="width:0;height:1.5pt" o:hralign="center" o:hrstd="t" o:hr="t" fillcolor="#a0a0a0" stroked="f"/>
        </w:pict>
      </w:r>
    </w:p>
    <w:p w14:paraId="2CDAADDD" w14:textId="77777777" w:rsidR="005B2629" w:rsidRPr="005B2629" w:rsidRDefault="005B2629" w:rsidP="005B262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B2629">
        <w:rPr>
          <w:rFonts w:ascii="Times New Roman" w:eastAsia="Times New Roman" w:hAnsi="Times New Roman" w:cs="Times New Roman"/>
          <w:b/>
          <w:bCs/>
          <w:color w:val="000000"/>
          <w:kern w:val="0"/>
          <w:sz w:val="36"/>
          <w:szCs w:val="36"/>
          <w14:ligatures w14:val="none"/>
        </w:rPr>
        <w:t>Aplicação clínica</w:t>
      </w:r>
    </w:p>
    <w:p w14:paraId="5C4CCCC7"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Na prática, o planejamento deve começar pela pergunta funcional: </w:t>
      </w:r>
      <w:r w:rsidRPr="005B2629">
        <w:rPr>
          <w:rFonts w:ascii="Times New Roman" w:eastAsia="Times New Roman" w:hAnsi="Times New Roman" w:cs="Times New Roman"/>
          <w:b/>
          <w:bCs/>
          <w:color w:val="000000"/>
          <w:kern w:val="0"/>
          <w14:ligatures w14:val="none"/>
        </w:rPr>
        <w:t>como a deformidade interfere na vida daquele paciente?</w:t>
      </w:r>
      <w:r w:rsidRPr="005B2629">
        <w:rPr>
          <w:rFonts w:ascii="Times New Roman" w:eastAsia="Times New Roman" w:hAnsi="Times New Roman" w:cs="Times New Roman"/>
          <w:color w:val="000000"/>
          <w:kern w:val="0"/>
          <w14:ligatures w14:val="none"/>
        </w:rPr>
        <w:t> Capacidade de sentar, deambular quando possível, realizar transferências, utilizar órteses, manter higiene e integridade da pele devem ser analisadas juntamente com alinhamento e obliquidade pélvica. O nível motor funcional ajuda a interpretar a capacidade de compensação e o prognóstico biomecânico.</w:t>
      </w:r>
    </w:p>
    <w:p w14:paraId="0958D1CD"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Uma piora recente da curva, da marcha, da sensibilidade ou do controle esfincteriano não deve ser atribuída automaticamente ao crescimento da deformidade. O capítulo recomenda investigação do neuroeixo e das condições associadas antes da correção vertebral.</w:t>
      </w:r>
    </w:p>
    <w:p w14:paraId="2F756157"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lastRenderedPageBreak/>
        <w:t>A preparação para cirurgia é necessariamente multidisciplinar. Função respiratória, nutrição, trato urinário, hidrocefalia e derivações, condição cutânea e risco relacionado ao látex precisam ser considerados. Cicatrizes lombossacras, pele atrófica ou úlceras podem transformar a cobertura de partes moles em elemento determinante do planejamento e justificar participação precoce da cirurgia plástica.</w:t>
      </w:r>
    </w:p>
    <w:p w14:paraId="45242577"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Nos não deambuladores, equilíbrio sentado e relação coluna-pelve ganham especial importância; nos pacientes que mantêm marcha funcional, a extensão da artrodese deve considerar o impacto potencial sobre essa capacidade. A elevada incidência de infecção, problemas de cicatrização, pseudoartrose e falha mecânica reforça a necessidade de selecionar objetivos realistas e evitar que a busca por correção radiográfica suplante o ganho funcional esperado.</w:t>
      </w:r>
    </w:p>
    <w:p w14:paraId="16BE1E6D" w14:textId="77777777" w:rsidR="005B2629" w:rsidRPr="005B2629" w:rsidRDefault="00D97B59" w:rsidP="005B2629">
      <w:pPr>
        <w:spacing w:after="0" w:line="240" w:lineRule="auto"/>
        <w:rPr>
          <w:rFonts w:ascii="Times New Roman" w:eastAsia="Times New Roman" w:hAnsi="Times New Roman" w:cs="Times New Roman"/>
          <w:kern w:val="0"/>
          <w14:ligatures w14:val="none"/>
        </w:rPr>
      </w:pPr>
      <w:r w:rsidRPr="00D97B59">
        <w:rPr>
          <w:rFonts w:ascii="Times New Roman" w:eastAsia="Times New Roman" w:hAnsi="Times New Roman" w:cs="Times New Roman"/>
          <w:noProof/>
          <w:kern w:val="0"/>
        </w:rPr>
        <w:pict w14:anchorId="2DE27C41">
          <v:rect id="_x0000_i1032" style="width:0;height:1.5pt" o:hralign="center" o:hrstd="t" o:hr="t" fillcolor="#a0a0a0" stroked="f"/>
        </w:pict>
      </w:r>
    </w:p>
    <w:p w14:paraId="16A1E70F" w14:textId="77777777" w:rsidR="005B2629" w:rsidRPr="005B2629" w:rsidRDefault="005B2629" w:rsidP="005B262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B2629">
        <w:rPr>
          <w:rFonts w:ascii="Times New Roman" w:eastAsia="Times New Roman" w:hAnsi="Times New Roman" w:cs="Times New Roman"/>
          <w:b/>
          <w:bCs/>
          <w:color w:val="000000"/>
          <w:kern w:val="0"/>
          <w:sz w:val="36"/>
          <w:szCs w:val="36"/>
          <w14:ligatures w14:val="none"/>
        </w:rPr>
        <w:t>Mensagem central</w:t>
      </w:r>
    </w:p>
    <w:p w14:paraId="5C29EB69"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As deformidades nos disrafismos espinhais são consequência de uma interação complexa entre malformação óssea, déficit neurológico, desequilíbrio muscular, crescimento e alterações espinopélvicas. Seu tratamento não deve ser orientado apenas pela magnitude da curva. Nível funcional, neuroeixo, equilíbrio sentado, pele, função respiratória e urológica, nutrição e potencial de crescimento precisam participar da decisão. O objetivo é construir uma coluna funcionalmente estável e compatível com as necessidades globais do paciente.</w:t>
      </w:r>
    </w:p>
    <w:p w14:paraId="4F39077E" w14:textId="77777777" w:rsidR="005B2629" w:rsidRPr="005B2629" w:rsidRDefault="00D97B59" w:rsidP="005B2629">
      <w:pPr>
        <w:spacing w:after="0" w:line="240" w:lineRule="auto"/>
        <w:rPr>
          <w:rFonts w:ascii="Times New Roman" w:eastAsia="Times New Roman" w:hAnsi="Times New Roman" w:cs="Times New Roman"/>
          <w:kern w:val="0"/>
          <w14:ligatures w14:val="none"/>
        </w:rPr>
      </w:pPr>
      <w:r w:rsidRPr="00D97B59">
        <w:rPr>
          <w:rFonts w:ascii="Times New Roman" w:eastAsia="Times New Roman" w:hAnsi="Times New Roman" w:cs="Times New Roman"/>
          <w:noProof/>
          <w:kern w:val="0"/>
        </w:rPr>
        <w:pict w14:anchorId="5ADA924B">
          <v:rect id="_x0000_i1031" style="width:0;height:1.5pt" o:hralign="center" o:hrstd="t" o:hr="t" fillcolor="#a0a0a0" stroked="f"/>
        </w:pict>
      </w:r>
    </w:p>
    <w:p w14:paraId="59E13946" w14:textId="77777777" w:rsidR="005B2629" w:rsidRPr="005B2629" w:rsidRDefault="005B2629" w:rsidP="005B262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B2629">
        <w:rPr>
          <w:rFonts w:ascii="Times New Roman" w:eastAsia="Times New Roman" w:hAnsi="Times New Roman" w:cs="Times New Roman"/>
          <w:b/>
          <w:bCs/>
          <w:color w:val="000000"/>
          <w:kern w:val="0"/>
          <w:sz w:val="36"/>
          <w:szCs w:val="36"/>
          <w14:ligatures w14:val="none"/>
        </w:rPr>
        <w:t>Por que este capítulo importa</w:t>
      </w:r>
    </w:p>
    <w:p w14:paraId="305F1DBA"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Poucas deformidades exigem do cirurgião uma visão tão ampla quanto aquelas associadas aos disrafismos. Uma correção tecnicamente adequada pode fracassar se houver medula presa não reconhecida, infecção urinária, pele incapaz de cobrir os implantes ou desequilíbrio pélvico incompatível com a função do paciente. Este capítulo mostra por que a coluna não pode ser tratada isoladamente. Ao integrar neurocirurgia, urologia, reabilitação, função respiratória, pele, nutrição e objetivos de mobilidade, ele transforma uma reconstrução complexa em um planejamento centrado no paciente e em sua funcionalidade.</w:t>
      </w:r>
    </w:p>
    <w:p w14:paraId="4C04469B" w14:textId="77777777" w:rsidR="005B2629" w:rsidRPr="005B2629" w:rsidRDefault="00D97B59" w:rsidP="005B2629">
      <w:pPr>
        <w:spacing w:after="0" w:line="240" w:lineRule="auto"/>
        <w:rPr>
          <w:rFonts w:ascii="Times New Roman" w:eastAsia="Times New Roman" w:hAnsi="Times New Roman" w:cs="Times New Roman"/>
          <w:kern w:val="0"/>
          <w14:ligatures w14:val="none"/>
        </w:rPr>
      </w:pPr>
      <w:r w:rsidRPr="00D97B59">
        <w:rPr>
          <w:rFonts w:ascii="Times New Roman" w:eastAsia="Times New Roman" w:hAnsi="Times New Roman" w:cs="Times New Roman"/>
          <w:noProof/>
          <w:kern w:val="0"/>
        </w:rPr>
        <w:pict w14:anchorId="3445141B">
          <v:rect id="_x0000_i1030" style="width:0;height:1.5pt" o:hralign="center" o:hrstd="t" o:hr="t" fillcolor="#a0a0a0" stroked="f"/>
        </w:pict>
      </w:r>
    </w:p>
    <w:p w14:paraId="5B158093" w14:textId="77777777" w:rsidR="005B2629" w:rsidRPr="005B2629" w:rsidRDefault="005B2629" w:rsidP="005B26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B2629">
        <w:rPr>
          <w:rFonts w:ascii="Times New Roman" w:eastAsia="Times New Roman" w:hAnsi="Times New Roman" w:cs="Times New Roman"/>
          <w:b/>
          <w:bCs/>
          <w:color w:val="000000"/>
          <w:kern w:val="36"/>
          <w:sz w:val="48"/>
          <w:szCs w:val="48"/>
          <w14:ligatures w14:val="none"/>
        </w:rPr>
        <w:t>Palavras-chave e descritores</w:t>
      </w:r>
    </w:p>
    <w:p w14:paraId="62F26031" w14:textId="77777777" w:rsidR="005B2629" w:rsidRPr="005B2629" w:rsidRDefault="005B2629" w:rsidP="005B262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B2629">
        <w:rPr>
          <w:rFonts w:ascii="Times New Roman" w:eastAsia="Times New Roman" w:hAnsi="Times New Roman" w:cs="Times New Roman"/>
          <w:b/>
          <w:bCs/>
          <w:color w:val="000000"/>
          <w:kern w:val="0"/>
          <w:sz w:val="36"/>
          <w:szCs w:val="36"/>
          <w14:ligatures w14:val="none"/>
        </w:rPr>
        <w:t>Descritores controlados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4"/>
        <w:gridCol w:w="2828"/>
      </w:tblGrid>
      <w:tr w:rsidR="005B2629" w:rsidRPr="005B2629" w14:paraId="00CF2EFA" w14:textId="77777777">
        <w:trPr>
          <w:tblHeader/>
          <w:tblCellSpacing w:w="15" w:type="dxa"/>
        </w:trPr>
        <w:tc>
          <w:tcPr>
            <w:tcW w:w="0" w:type="auto"/>
            <w:vAlign w:val="center"/>
            <w:hideMark/>
          </w:tcPr>
          <w:p w14:paraId="07611B02" w14:textId="77777777" w:rsidR="005B2629" w:rsidRPr="005B2629" w:rsidRDefault="005B2629" w:rsidP="005B2629">
            <w:pPr>
              <w:spacing w:after="0" w:line="240" w:lineRule="auto"/>
              <w:jc w:val="center"/>
              <w:rPr>
                <w:rFonts w:ascii="Times New Roman" w:eastAsia="Times New Roman" w:hAnsi="Times New Roman" w:cs="Times New Roman"/>
                <w:b/>
                <w:bCs/>
                <w:color w:val="000000"/>
                <w:kern w:val="0"/>
                <w14:ligatures w14:val="none"/>
              </w:rPr>
            </w:pPr>
            <w:r w:rsidRPr="005B2629">
              <w:rPr>
                <w:rFonts w:ascii="Times New Roman" w:eastAsia="Times New Roman" w:hAnsi="Times New Roman" w:cs="Times New Roman"/>
                <w:b/>
                <w:bCs/>
                <w:color w:val="000000"/>
                <w:kern w:val="0"/>
                <w14:ligatures w14:val="none"/>
              </w:rPr>
              <w:t>DeCS — português</w:t>
            </w:r>
          </w:p>
        </w:tc>
        <w:tc>
          <w:tcPr>
            <w:tcW w:w="0" w:type="auto"/>
            <w:vAlign w:val="center"/>
            <w:hideMark/>
          </w:tcPr>
          <w:p w14:paraId="3355E216" w14:textId="77777777" w:rsidR="005B2629" w:rsidRPr="005B2629" w:rsidRDefault="005B2629" w:rsidP="005B2629">
            <w:pPr>
              <w:spacing w:after="0" w:line="240" w:lineRule="auto"/>
              <w:jc w:val="center"/>
              <w:rPr>
                <w:rFonts w:ascii="Times New Roman" w:eastAsia="Times New Roman" w:hAnsi="Times New Roman" w:cs="Times New Roman"/>
                <w:b/>
                <w:bCs/>
                <w:color w:val="000000"/>
                <w:kern w:val="0"/>
                <w14:ligatures w14:val="none"/>
              </w:rPr>
            </w:pPr>
            <w:r w:rsidRPr="005B2629">
              <w:rPr>
                <w:rFonts w:ascii="Times New Roman" w:eastAsia="Times New Roman" w:hAnsi="Times New Roman" w:cs="Times New Roman"/>
                <w:b/>
                <w:bCs/>
                <w:color w:val="000000"/>
                <w:kern w:val="0"/>
                <w14:ligatures w14:val="none"/>
              </w:rPr>
              <w:t>MeSH — inglês</w:t>
            </w:r>
          </w:p>
        </w:tc>
      </w:tr>
      <w:tr w:rsidR="005B2629" w:rsidRPr="005B2629" w14:paraId="769470A3" w14:textId="77777777">
        <w:trPr>
          <w:tblCellSpacing w:w="15" w:type="dxa"/>
        </w:trPr>
        <w:tc>
          <w:tcPr>
            <w:tcW w:w="0" w:type="auto"/>
            <w:vAlign w:val="center"/>
            <w:hideMark/>
          </w:tcPr>
          <w:p w14:paraId="2749DD27" w14:textId="77777777" w:rsidR="005B2629" w:rsidRPr="005B2629" w:rsidRDefault="005B2629" w:rsidP="005B2629">
            <w:pPr>
              <w:spacing w:after="0"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Disrafismo Espinal</w:t>
            </w:r>
          </w:p>
        </w:tc>
        <w:tc>
          <w:tcPr>
            <w:tcW w:w="0" w:type="auto"/>
            <w:vAlign w:val="center"/>
            <w:hideMark/>
          </w:tcPr>
          <w:p w14:paraId="57B5DAB7" w14:textId="77777777" w:rsidR="005B2629" w:rsidRPr="005B2629" w:rsidRDefault="005B2629" w:rsidP="005B2629">
            <w:pPr>
              <w:spacing w:after="0"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Spinal Dysraphism</w:t>
            </w:r>
          </w:p>
        </w:tc>
      </w:tr>
      <w:tr w:rsidR="005B2629" w:rsidRPr="005B2629" w14:paraId="4DBEBD5D" w14:textId="77777777">
        <w:trPr>
          <w:tblCellSpacing w:w="15" w:type="dxa"/>
        </w:trPr>
        <w:tc>
          <w:tcPr>
            <w:tcW w:w="0" w:type="auto"/>
            <w:vAlign w:val="center"/>
            <w:hideMark/>
          </w:tcPr>
          <w:p w14:paraId="37B210C1" w14:textId="77777777" w:rsidR="005B2629" w:rsidRPr="005B2629" w:rsidRDefault="005B2629" w:rsidP="005B2629">
            <w:pPr>
              <w:spacing w:after="0"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lastRenderedPageBreak/>
              <w:t>Meningomielocele</w:t>
            </w:r>
          </w:p>
        </w:tc>
        <w:tc>
          <w:tcPr>
            <w:tcW w:w="0" w:type="auto"/>
            <w:vAlign w:val="center"/>
            <w:hideMark/>
          </w:tcPr>
          <w:p w14:paraId="45399966" w14:textId="77777777" w:rsidR="005B2629" w:rsidRPr="005B2629" w:rsidRDefault="005B2629" w:rsidP="005B2629">
            <w:pPr>
              <w:spacing w:after="0"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Meningomyelocele</w:t>
            </w:r>
          </w:p>
        </w:tc>
      </w:tr>
      <w:tr w:rsidR="005B2629" w:rsidRPr="005B2629" w14:paraId="191399E1" w14:textId="77777777">
        <w:trPr>
          <w:tblCellSpacing w:w="15" w:type="dxa"/>
        </w:trPr>
        <w:tc>
          <w:tcPr>
            <w:tcW w:w="0" w:type="auto"/>
            <w:vAlign w:val="center"/>
            <w:hideMark/>
          </w:tcPr>
          <w:p w14:paraId="2973746D" w14:textId="77777777" w:rsidR="005B2629" w:rsidRPr="005B2629" w:rsidRDefault="005B2629" w:rsidP="005B2629">
            <w:pPr>
              <w:spacing w:after="0"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Espinha Bífida Oculta</w:t>
            </w:r>
          </w:p>
        </w:tc>
        <w:tc>
          <w:tcPr>
            <w:tcW w:w="0" w:type="auto"/>
            <w:vAlign w:val="center"/>
            <w:hideMark/>
          </w:tcPr>
          <w:p w14:paraId="4D4632B1" w14:textId="77777777" w:rsidR="005B2629" w:rsidRPr="005B2629" w:rsidRDefault="005B2629" w:rsidP="005B2629">
            <w:pPr>
              <w:spacing w:after="0"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Spina Bifida Occulta</w:t>
            </w:r>
          </w:p>
        </w:tc>
      </w:tr>
      <w:tr w:rsidR="005B2629" w:rsidRPr="005B2629" w14:paraId="57C0D8E2" w14:textId="77777777">
        <w:trPr>
          <w:tblCellSpacing w:w="15" w:type="dxa"/>
        </w:trPr>
        <w:tc>
          <w:tcPr>
            <w:tcW w:w="0" w:type="auto"/>
            <w:vAlign w:val="center"/>
            <w:hideMark/>
          </w:tcPr>
          <w:p w14:paraId="2002FD98" w14:textId="77777777" w:rsidR="005B2629" w:rsidRPr="005B2629" w:rsidRDefault="005B2629" w:rsidP="005B2629">
            <w:pPr>
              <w:spacing w:after="0"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Escoliose</w:t>
            </w:r>
          </w:p>
        </w:tc>
        <w:tc>
          <w:tcPr>
            <w:tcW w:w="0" w:type="auto"/>
            <w:vAlign w:val="center"/>
            <w:hideMark/>
          </w:tcPr>
          <w:p w14:paraId="2DC7742E" w14:textId="77777777" w:rsidR="005B2629" w:rsidRPr="005B2629" w:rsidRDefault="005B2629" w:rsidP="005B2629">
            <w:pPr>
              <w:spacing w:after="0"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Scoliosis</w:t>
            </w:r>
          </w:p>
        </w:tc>
      </w:tr>
      <w:tr w:rsidR="005B2629" w:rsidRPr="005B2629" w14:paraId="6AB26632" w14:textId="77777777">
        <w:trPr>
          <w:tblCellSpacing w:w="15" w:type="dxa"/>
        </w:trPr>
        <w:tc>
          <w:tcPr>
            <w:tcW w:w="0" w:type="auto"/>
            <w:vAlign w:val="center"/>
            <w:hideMark/>
          </w:tcPr>
          <w:p w14:paraId="1C4D3D94" w14:textId="77777777" w:rsidR="005B2629" w:rsidRPr="005B2629" w:rsidRDefault="005B2629" w:rsidP="005B2629">
            <w:pPr>
              <w:spacing w:after="0"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Cifose</w:t>
            </w:r>
          </w:p>
        </w:tc>
        <w:tc>
          <w:tcPr>
            <w:tcW w:w="0" w:type="auto"/>
            <w:vAlign w:val="center"/>
            <w:hideMark/>
          </w:tcPr>
          <w:p w14:paraId="5A402AAF" w14:textId="77777777" w:rsidR="005B2629" w:rsidRPr="005B2629" w:rsidRDefault="005B2629" w:rsidP="005B2629">
            <w:pPr>
              <w:spacing w:after="0"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Kyphosis</w:t>
            </w:r>
          </w:p>
        </w:tc>
      </w:tr>
      <w:tr w:rsidR="005B2629" w:rsidRPr="005B2629" w14:paraId="7F87E416" w14:textId="77777777">
        <w:trPr>
          <w:tblCellSpacing w:w="15" w:type="dxa"/>
        </w:trPr>
        <w:tc>
          <w:tcPr>
            <w:tcW w:w="0" w:type="auto"/>
            <w:vAlign w:val="center"/>
            <w:hideMark/>
          </w:tcPr>
          <w:p w14:paraId="59077836" w14:textId="77777777" w:rsidR="005B2629" w:rsidRPr="005B2629" w:rsidRDefault="005B2629" w:rsidP="005B2629">
            <w:pPr>
              <w:spacing w:after="0"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Siringomielia</w:t>
            </w:r>
          </w:p>
        </w:tc>
        <w:tc>
          <w:tcPr>
            <w:tcW w:w="0" w:type="auto"/>
            <w:vAlign w:val="center"/>
            <w:hideMark/>
          </w:tcPr>
          <w:p w14:paraId="0E9B869D" w14:textId="77777777" w:rsidR="005B2629" w:rsidRPr="005B2629" w:rsidRDefault="005B2629" w:rsidP="005B2629">
            <w:pPr>
              <w:spacing w:after="0"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Syringomyelia</w:t>
            </w:r>
          </w:p>
        </w:tc>
      </w:tr>
      <w:tr w:rsidR="005B2629" w:rsidRPr="005B2629" w14:paraId="06E08212" w14:textId="77777777">
        <w:trPr>
          <w:tblCellSpacing w:w="15" w:type="dxa"/>
        </w:trPr>
        <w:tc>
          <w:tcPr>
            <w:tcW w:w="0" w:type="auto"/>
            <w:vAlign w:val="center"/>
            <w:hideMark/>
          </w:tcPr>
          <w:p w14:paraId="1B4622E5" w14:textId="77777777" w:rsidR="005B2629" w:rsidRPr="005B2629" w:rsidRDefault="005B2629" w:rsidP="005B2629">
            <w:pPr>
              <w:spacing w:after="0"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Hidrocefalia</w:t>
            </w:r>
          </w:p>
        </w:tc>
        <w:tc>
          <w:tcPr>
            <w:tcW w:w="0" w:type="auto"/>
            <w:vAlign w:val="center"/>
            <w:hideMark/>
          </w:tcPr>
          <w:p w14:paraId="6CB56B41" w14:textId="77777777" w:rsidR="005B2629" w:rsidRPr="005B2629" w:rsidRDefault="005B2629" w:rsidP="005B2629">
            <w:pPr>
              <w:spacing w:after="0"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Hydrocephalus</w:t>
            </w:r>
          </w:p>
        </w:tc>
      </w:tr>
      <w:tr w:rsidR="005B2629" w:rsidRPr="005B2629" w14:paraId="65EABB4B" w14:textId="77777777">
        <w:trPr>
          <w:tblCellSpacing w:w="15" w:type="dxa"/>
        </w:trPr>
        <w:tc>
          <w:tcPr>
            <w:tcW w:w="0" w:type="auto"/>
            <w:vAlign w:val="center"/>
            <w:hideMark/>
          </w:tcPr>
          <w:p w14:paraId="6DEA9DC4" w14:textId="77777777" w:rsidR="005B2629" w:rsidRPr="005B2629" w:rsidRDefault="005B2629" w:rsidP="005B2629">
            <w:pPr>
              <w:spacing w:after="0"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Malformação de Arnold-Chiari</w:t>
            </w:r>
          </w:p>
        </w:tc>
        <w:tc>
          <w:tcPr>
            <w:tcW w:w="0" w:type="auto"/>
            <w:vAlign w:val="center"/>
            <w:hideMark/>
          </w:tcPr>
          <w:p w14:paraId="5CB34F01" w14:textId="77777777" w:rsidR="005B2629" w:rsidRPr="005B2629" w:rsidRDefault="005B2629" w:rsidP="005B2629">
            <w:pPr>
              <w:spacing w:after="0"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Arnold-Chiari Malformation</w:t>
            </w:r>
          </w:p>
        </w:tc>
      </w:tr>
    </w:tbl>
    <w:p w14:paraId="37D13197" w14:textId="77777777" w:rsidR="005B2629" w:rsidRPr="005B2629" w:rsidRDefault="005B2629" w:rsidP="005B26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B2629">
        <w:rPr>
          <w:rFonts w:ascii="Times New Roman" w:eastAsia="Times New Roman" w:hAnsi="Times New Roman" w:cs="Times New Roman"/>
          <w:b/>
          <w:bCs/>
          <w:color w:val="000000"/>
          <w:kern w:val="0"/>
          <w:sz w:val="27"/>
          <w:szCs w:val="27"/>
          <w14:ligatures w14:val="none"/>
        </w:rPr>
        <w:t>Palavras-chave livres adicionais</w:t>
      </w:r>
    </w:p>
    <w:p w14:paraId="6F6843DF"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b/>
          <w:bCs/>
          <w:color w:val="000000"/>
          <w:kern w:val="0"/>
          <w14:ligatures w14:val="none"/>
        </w:rPr>
        <w:t>Deformidade no disrafismo espinhal; mielomeningocele; cifose de raio curto; obliquidade pélvica; medula presa; cifosectomia; fixação espinopélvica; sistemas de crescimento; nível motor funcional; adequação postural.</w:t>
      </w:r>
    </w:p>
    <w:p w14:paraId="0E00AFEF" w14:textId="77777777" w:rsidR="005B2629" w:rsidRPr="005B2629" w:rsidRDefault="00D97B59" w:rsidP="005B2629">
      <w:pPr>
        <w:spacing w:after="0" w:line="240" w:lineRule="auto"/>
        <w:rPr>
          <w:rFonts w:ascii="Times New Roman" w:eastAsia="Times New Roman" w:hAnsi="Times New Roman" w:cs="Times New Roman"/>
          <w:kern w:val="0"/>
          <w14:ligatures w14:val="none"/>
        </w:rPr>
      </w:pPr>
      <w:r w:rsidRPr="00D97B59">
        <w:rPr>
          <w:rFonts w:ascii="Times New Roman" w:eastAsia="Times New Roman" w:hAnsi="Times New Roman" w:cs="Times New Roman"/>
          <w:noProof/>
          <w:kern w:val="0"/>
        </w:rPr>
        <w:pict w14:anchorId="04344BD2">
          <v:rect id="_x0000_i1029" style="width:0;height:1.5pt" o:hralign="center" o:hrstd="t" o:hr="t" fillcolor="#a0a0a0" stroked="f"/>
        </w:pict>
      </w:r>
    </w:p>
    <w:p w14:paraId="4B6A2948" w14:textId="77777777" w:rsidR="005B2629" w:rsidRPr="005B2629" w:rsidRDefault="005B2629" w:rsidP="005B26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B2629">
        <w:rPr>
          <w:rFonts w:ascii="Times New Roman" w:eastAsia="Times New Roman" w:hAnsi="Times New Roman" w:cs="Times New Roman"/>
          <w:b/>
          <w:bCs/>
          <w:color w:val="000000"/>
          <w:kern w:val="36"/>
          <w:sz w:val="48"/>
          <w:szCs w:val="48"/>
          <w14:ligatures w14:val="none"/>
        </w:rPr>
        <w:t>Três cards de destaque</w:t>
      </w:r>
    </w:p>
    <w:p w14:paraId="42BE979B" w14:textId="77777777" w:rsidR="005B2629" w:rsidRPr="005B2629" w:rsidRDefault="005B2629" w:rsidP="005B262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B2629">
        <w:rPr>
          <w:rFonts w:ascii="Times New Roman" w:eastAsia="Times New Roman" w:hAnsi="Times New Roman" w:cs="Times New Roman"/>
          <w:b/>
          <w:bCs/>
          <w:color w:val="000000"/>
          <w:kern w:val="0"/>
          <w:sz w:val="36"/>
          <w:szCs w:val="36"/>
          <w14:ligatures w14:val="none"/>
        </w:rPr>
        <w:t>Card 1 — Conceito essencial</w:t>
      </w:r>
    </w:p>
    <w:p w14:paraId="24CAF718" w14:textId="77777777" w:rsidR="005B2629" w:rsidRPr="005B2629" w:rsidRDefault="005B2629" w:rsidP="005B26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B2629">
        <w:rPr>
          <w:rFonts w:ascii="Times New Roman" w:eastAsia="Times New Roman" w:hAnsi="Times New Roman" w:cs="Times New Roman"/>
          <w:b/>
          <w:bCs/>
          <w:color w:val="000000"/>
          <w:kern w:val="0"/>
          <w:sz w:val="27"/>
          <w:szCs w:val="27"/>
          <w14:ligatures w14:val="none"/>
        </w:rPr>
        <w:t>Três forças moldam a deformidade</w:t>
      </w:r>
    </w:p>
    <w:p w14:paraId="197608C5"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Malformação estrutural, desequilíbrio neuromuscular e crescimento assimétrico atuam simultaneamente nos disrafismos. Essa combinação explica por que algumas curvas surgem cedo, tornam-se rígidas e podem continuar progredindo mesmo após o crescimento, diferentemente do comportamento esperado em outras formas de escoliose.</w:t>
      </w:r>
    </w:p>
    <w:p w14:paraId="603B381E" w14:textId="77777777" w:rsidR="005B2629" w:rsidRPr="005B2629" w:rsidRDefault="00D97B59" w:rsidP="005B2629">
      <w:pPr>
        <w:spacing w:after="0" w:line="240" w:lineRule="auto"/>
        <w:rPr>
          <w:rFonts w:ascii="Times New Roman" w:eastAsia="Times New Roman" w:hAnsi="Times New Roman" w:cs="Times New Roman"/>
          <w:kern w:val="0"/>
          <w14:ligatures w14:val="none"/>
        </w:rPr>
      </w:pPr>
      <w:r w:rsidRPr="00D97B59">
        <w:rPr>
          <w:rFonts w:ascii="Times New Roman" w:eastAsia="Times New Roman" w:hAnsi="Times New Roman" w:cs="Times New Roman"/>
          <w:noProof/>
          <w:kern w:val="0"/>
        </w:rPr>
        <w:pict w14:anchorId="71E23C6B">
          <v:rect id="_x0000_i1028" style="width:0;height:1.5pt" o:hralign="center" o:hrstd="t" o:hr="t" fillcolor="#a0a0a0" stroked="f"/>
        </w:pict>
      </w:r>
    </w:p>
    <w:p w14:paraId="5AE4CCD6" w14:textId="77777777" w:rsidR="005B2629" w:rsidRPr="005B2629" w:rsidRDefault="005B2629" w:rsidP="005B262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B2629">
        <w:rPr>
          <w:rFonts w:ascii="Times New Roman" w:eastAsia="Times New Roman" w:hAnsi="Times New Roman" w:cs="Times New Roman"/>
          <w:b/>
          <w:bCs/>
          <w:color w:val="000000"/>
          <w:kern w:val="0"/>
          <w:sz w:val="36"/>
          <w:szCs w:val="36"/>
          <w14:ligatures w14:val="none"/>
        </w:rPr>
        <w:t>Card 2 — Decisão clínica</w:t>
      </w:r>
    </w:p>
    <w:p w14:paraId="169303D6" w14:textId="77777777" w:rsidR="005B2629" w:rsidRPr="005B2629" w:rsidRDefault="005B2629" w:rsidP="005B26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B2629">
        <w:rPr>
          <w:rFonts w:ascii="Times New Roman" w:eastAsia="Times New Roman" w:hAnsi="Times New Roman" w:cs="Times New Roman"/>
          <w:b/>
          <w:bCs/>
          <w:color w:val="000000"/>
          <w:kern w:val="0"/>
          <w:sz w:val="27"/>
          <w:szCs w:val="27"/>
          <w14:ligatures w14:val="none"/>
        </w:rPr>
        <w:t>Trate a função, não o Cobb</w:t>
      </w:r>
    </w:p>
    <w:p w14:paraId="2106F745"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A magnitude da curva é apenas um componente da indicação. Equilíbrio sentado, obliquidade pélvica, nível neurológico, capacidade de marcha, pele, função respiratória e impacto sobre os cuidados diários podem ser mais importantes para definir se, quando e até onde reconstruir a coluna.</w:t>
      </w:r>
    </w:p>
    <w:p w14:paraId="2348D355" w14:textId="77777777" w:rsidR="005B2629" w:rsidRPr="005B2629" w:rsidRDefault="00D97B59" w:rsidP="005B2629">
      <w:pPr>
        <w:spacing w:after="0" w:line="240" w:lineRule="auto"/>
        <w:rPr>
          <w:rFonts w:ascii="Times New Roman" w:eastAsia="Times New Roman" w:hAnsi="Times New Roman" w:cs="Times New Roman"/>
          <w:kern w:val="0"/>
          <w14:ligatures w14:val="none"/>
        </w:rPr>
      </w:pPr>
      <w:r w:rsidRPr="00D97B59">
        <w:rPr>
          <w:rFonts w:ascii="Times New Roman" w:eastAsia="Times New Roman" w:hAnsi="Times New Roman" w:cs="Times New Roman"/>
          <w:noProof/>
          <w:kern w:val="0"/>
        </w:rPr>
        <w:pict w14:anchorId="2357D47A">
          <v:rect id="_x0000_i1027" style="width:0;height:1.5pt" o:hralign="center" o:hrstd="t" o:hr="t" fillcolor="#a0a0a0" stroked="f"/>
        </w:pict>
      </w:r>
    </w:p>
    <w:p w14:paraId="3BE01F5F" w14:textId="77777777" w:rsidR="005B2629" w:rsidRPr="005B2629" w:rsidRDefault="005B2629" w:rsidP="005B262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B2629">
        <w:rPr>
          <w:rFonts w:ascii="Times New Roman" w:eastAsia="Times New Roman" w:hAnsi="Times New Roman" w:cs="Times New Roman"/>
          <w:b/>
          <w:bCs/>
          <w:color w:val="000000"/>
          <w:kern w:val="0"/>
          <w:sz w:val="36"/>
          <w:szCs w:val="36"/>
          <w14:ligatures w14:val="none"/>
        </w:rPr>
        <w:t>Card 3 — Pérola ou alerta</w:t>
      </w:r>
    </w:p>
    <w:p w14:paraId="202061E5" w14:textId="77777777" w:rsidR="005B2629" w:rsidRPr="005B2629" w:rsidRDefault="005B2629" w:rsidP="005B26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B2629">
        <w:rPr>
          <w:rFonts w:ascii="Times New Roman" w:eastAsia="Times New Roman" w:hAnsi="Times New Roman" w:cs="Times New Roman"/>
          <w:b/>
          <w:bCs/>
          <w:color w:val="000000"/>
          <w:kern w:val="0"/>
          <w:sz w:val="27"/>
          <w:szCs w:val="27"/>
          <w14:ligatures w14:val="none"/>
        </w:rPr>
        <w:lastRenderedPageBreak/>
        <w:t>Investigue piora neurológica primeiro</w:t>
      </w:r>
    </w:p>
    <w:p w14:paraId="155854A0"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Progressão rápida da deformidade, perda funcional, dor nova ou alteração esfincteriana podem sinalizar medula presa, siringomielia ou disfunção associada do neuroeixo. Antes de atribuir a mudança apenas à curva e planejar sua correção, é essencial esclarecer e, quando indicado, tratar a causa neurológica subjacente.</w:t>
      </w:r>
    </w:p>
    <w:p w14:paraId="78B34E12" w14:textId="77777777" w:rsidR="005B2629" w:rsidRPr="005B2629" w:rsidRDefault="00D97B59" w:rsidP="005B2629">
      <w:pPr>
        <w:spacing w:after="0" w:line="240" w:lineRule="auto"/>
        <w:rPr>
          <w:rFonts w:ascii="Times New Roman" w:eastAsia="Times New Roman" w:hAnsi="Times New Roman" w:cs="Times New Roman"/>
          <w:kern w:val="0"/>
          <w14:ligatures w14:val="none"/>
        </w:rPr>
      </w:pPr>
      <w:r w:rsidRPr="00D97B59">
        <w:rPr>
          <w:rFonts w:ascii="Times New Roman" w:eastAsia="Times New Roman" w:hAnsi="Times New Roman" w:cs="Times New Roman"/>
          <w:noProof/>
          <w:kern w:val="0"/>
        </w:rPr>
        <w:pict w14:anchorId="09067348">
          <v:rect id="_x0000_i1026" style="width:0;height:1.5pt" o:hralign="center" o:hrstd="t" o:hr="t" fillcolor="#a0a0a0" stroked="f"/>
        </w:pict>
      </w:r>
    </w:p>
    <w:p w14:paraId="11C7017A" w14:textId="77777777" w:rsidR="005B2629" w:rsidRPr="005B2629" w:rsidRDefault="005B2629" w:rsidP="005B26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B2629">
        <w:rPr>
          <w:rFonts w:ascii="Times New Roman" w:eastAsia="Times New Roman" w:hAnsi="Times New Roman" w:cs="Times New Roman"/>
          <w:b/>
          <w:bCs/>
          <w:color w:val="000000"/>
          <w:kern w:val="36"/>
          <w:sz w:val="48"/>
          <w:szCs w:val="48"/>
          <w14:ligatures w14:val="none"/>
        </w:rPr>
        <w:t>Referências bibliográficas</w:t>
      </w:r>
    </w:p>
    <w:p w14:paraId="2FA290A9"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White C, Milla SS, Maloney JA, Neuberger I. Imaging of congenital spine malformations. Clin Perinatol. 2022;49(3):623-40. doi:10.1016/j.clp.2022.05.003.</w:t>
      </w:r>
    </w:p>
    <w:p w14:paraId="0A9473A5"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Dewald CJ, Dewald RL. Spinal deformities: the comprehensive text. 2nd ed. New York: Thieme; 2024.</w:t>
      </w:r>
    </w:p>
    <w:p w14:paraId="7C254905"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Luciano MG, Elbabaa SK. Myelomeningocele and associated anomalies. In: Benzel’s Spine Surgery. 4th ed. Elsevier; 2016.</w:t>
      </w:r>
    </w:p>
    <w:p w14:paraId="3D6F3AFB"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Trivedi J, Thomson JD, Armstrong DG. Management of scoliosis in myelodysplasia. J Pediatr Orthop. 2002;22(6):727-36.</w:t>
      </w:r>
    </w:p>
    <w:p w14:paraId="6F3673E4"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Gabos PG. Surgical treatment of spinal deformity in myelomeningocele. In: Samdani AF, et al., editors. Neuromuscular spine deformity. New York: Thieme; 2018. p. 49-58.</w:t>
      </w:r>
    </w:p>
    <w:p w14:paraId="1708E153"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Altiok H, Finlayson C, Hassani S, et al. Kyphectomy in children with myelomeningocele. Clin Orthop Relat Res. 2011;469(5):1272-78.</w:t>
      </w:r>
    </w:p>
    <w:p w14:paraId="4AB8EB6B"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Canaz H, Alatas I, Canaz G, et al. Surgical treatment of patients with myelomeningocele-related spine deformities: study of 26 cases. Childs Nerv Syst. 2018;34(8):1367-74.</w:t>
      </w:r>
    </w:p>
    <w:p w14:paraId="332C3F8A"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Rothman RH, Simeone FA. The spine. 7th ed. Elsevier; 2017.</w:t>
      </w:r>
    </w:p>
    <w:p w14:paraId="438E588A"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Hwang SW, Samdani AF. Spinal dysraphisms. In: Samdani AF, Hwang SW, editors. Spinal deformities. 2nd ed. Thieme; 2024.</w:t>
      </w:r>
    </w:p>
    <w:p w14:paraId="46E783F1"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Cavali PTM, Rossato AJ, Lima MC. Deformidades paralíticas da coluna vertebral. In: Hebert S, Lech O, editores. Ortopedia e traumatologia: princípios e prática. 6ª ed. Rio de Janeiro: Di Livros; 2024. p. 167-76.</w:t>
      </w:r>
    </w:p>
    <w:p w14:paraId="3ABD9E46"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Balioglu MB, Akman YE, Ucpunar H, et al. Sacral agenesis: evaluation of accompanying pathologies in 38 cases, with analysis of long-term outcomes. Childs Nerv Syst. 2016;32(9):1693-1702.</w:t>
      </w:r>
    </w:p>
    <w:p w14:paraId="176DC896"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Canaz H, Alatas I, Canaz G, et al. Surgical treatment of patients with myelomeningocele-related spine deformities: study of 26 cases. Childs Nerv Syst. 2018;34(8):1367-74.</w:t>
      </w:r>
    </w:p>
    <w:p w14:paraId="69B4DE35"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Tsitouras V, Sgouros S. Syringomyelia and tethered cord in children. Childs Nerv Syst. 2013;29(9):1625-34.</w:t>
      </w:r>
    </w:p>
    <w:p w14:paraId="5ABD8E8A"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Dewald RL, Dewald CJ. Spinal deformities: the comprehensive text. 2nd ed. Thieme; 2024.</w:t>
      </w:r>
    </w:p>
    <w:p w14:paraId="35122491"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Abousamra O, Nishnianidze T, Rogers KJ, et al. Correction of pelvic obliquity after spinopelvic fixation in children with cerebral palsy: a comparison study. Spine Deform. 2016;4(3):217-224.</w:t>
      </w:r>
    </w:p>
    <w:p w14:paraId="14119FC0"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lastRenderedPageBreak/>
        <w:t>Loughenbury PR, Tsirikos AI. Current concepts in the treatment of neuromuscular scoliosis: clinical assessment, treatment options, and surgical outcomes. Bone Jt Open. 2022;3(1):85-92.</w:t>
      </w:r>
    </w:p>
    <w:p w14:paraId="032A50C3"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McCoy A, et al. Spina bifida orthopedic management chart. In: Spina Bifida. 2025.</w:t>
      </w:r>
    </w:p>
    <w:p w14:paraId="0968EB4F"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Canaz H, Alatas I, Canaz G, et al. Surgical treatment of patients with myelomeningocele-related spine deformities: study of 26 cases. Childs Nerv Syst. 2018;34(8):1367-74.</w:t>
      </w:r>
    </w:p>
    <w:p w14:paraId="1917FE76"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Dewald RL, Dewald CJ. Spinal deformities: the comprehensive text. 2nd ed. New York: Thieme; 2024.</w:t>
      </w:r>
    </w:p>
    <w:p w14:paraId="4889A749"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Iskandar BJ, Finnell RH. Spina bifida. N Engl J Med. 2022;387(5):444-50. doi:10.1056/NEJMra2116032.</w:t>
      </w:r>
    </w:p>
    <w:p w14:paraId="63E36F7A"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McCoy A, Long C, Furey C, et al. Spina bifida: orthopedic and multidisciplinary management. Phys Med Rehabil Clin N Am. 2025;36(3):513-30. doi:10.1016/j.pmr.2025.03.003.</w:t>
      </w:r>
    </w:p>
    <w:p w14:paraId="27387649"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Kelly C, Veenstra DL, Lee TA. Latex allergy: prevalence and risk factors in patients with spina bifida. Pediatrics. 2000;105(5):E71. doi:10.1542/peds.105.5.e71.</w:t>
      </w:r>
    </w:p>
    <w:p w14:paraId="3C1E95A1"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Karataş G, Turan S, Öner A, et al. Surgical outcomes of kyphosis correction in myelomeningocele using the sliding growing rod technique: a retrospective cohort study. J Orthop Surg Res. 2024;19(1):114. doi:10.1186/s13018-024-04089-x.</w:t>
      </w:r>
    </w:p>
    <w:p w14:paraId="7C5F036C"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Abousamra O, Nishnianidze T, Rogers KJ, et al. Correction of pelvic obliquity after spinopelvic fixation in children with cerebral palsy: a comparison study. Spine Deform. 2016;4(3):217-24.</w:t>
      </w:r>
    </w:p>
    <w:p w14:paraId="64134071"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Gabos PG. Surgical treatment of spinal deformity in myelomeningocele. In: Samdani AF, Newton PO, Sponseller PD, et al., editors. Neuromuscular spine deformity. New York: Thieme; 2018. p. 49-58.</w:t>
      </w:r>
    </w:p>
    <w:p w14:paraId="519C12C8"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Rothman RH, Simeone FA. The spine. 7th ed. Garfin SR, Eismont FJ, Bell GR, et al., editors. Elsevier-OHCE; 2017.</w:t>
      </w:r>
    </w:p>
    <w:p w14:paraId="6B89536D"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Kocaoglu M, Genc Y, Arazi M, et al. The effect of using polyaxial screws in kyphectomy for myelomeningocele: a comparative analysis. Childs Nerv Syst. 2015;31(2):235-42.</w:t>
      </w:r>
    </w:p>
    <w:p w14:paraId="0E527576"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Maeda Y, Nagura T, Nakamura M, Yamamoto H, Watanabe K. Automatic measurement of the Cobb angle for adolescent idiopathic scoliosis using convolutional neural network. Sci Rep. 2023;13:14576. doi:10.1038/s41598-023-41821-y.</w:t>
      </w:r>
    </w:p>
    <w:p w14:paraId="0C70E2E6"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Xie K, Zhu S, Lin J, Li Y, Huang J, et al. A deep learning model for radiological measurement of adolescent idiopathic scoliosis using biplanar radiographs. J Orthop Surg Res. 2025;20:236. doi:10.1186/s13018-025-05620-7.</w:t>
      </w:r>
    </w:p>
    <w:p w14:paraId="61BD396A"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Qiu Z, Yang J, Wang J, et al. MMANet: multiple morphology-aware network for automated Cobb angle measurement. arXiv. 2023. arXiv:2309.13817.</w:t>
      </w:r>
    </w:p>
    <w:p w14:paraId="335089A0"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Li K, Gu H, Colglazier R, et al. Deep learning automates Cobb angle measurement compared with multi-expert observers. arXiv. 2024. arXiv:2403.12115.</w:t>
      </w:r>
    </w:p>
    <w:p w14:paraId="33BC8B1A" w14:textId="77777777" w:rsidR="005B2629" w:rsidRPr="005B2629" w:rsidRDefault="005B2629" w:rsidP="005B262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color w:val="000000"/>
          <w:kern w:val="0"/>
          <w14:ligatures w14:val="none"/>
        </w:rPr>
        <w:t>Li L, Wong MS. The application of machine learning methods for predicting the progression of adolescent idiopathic scoliosis: a systematic review. Biomed Eng Online. 2024;23:80. doi:10.1186/s12938-024-01272-6.</w:t>
      </w:r>
    </w:p>
    <w:p w14:paraId="32F0DB1F" w14:textId="77777777" w:rsidR="005B2629" w:rsidRPr="005B2629" w:rsidRDefault="00D97B59" w:rsidP="005B2629">
      <w:pPr>
        <w:spacing w:after="0" w:line="240" w:lineRule="auto"/>
        <w:rPr>
          <w:rFonts w:ascii="Times New Roman" w:eastAsia="Times New Roman" w:hAnsi="Times New Roman" w:cs="Times New Roman"/>
          <w:kern w:val="0"/>
          <w14:ligatures w14:val="none"/>
        </w:rPr>
      </w:pPr>
      <w:r w:rsidRPr="00D97B59">
        <w:rPr>
          <w:rFonts w:ascii="Times New Roman" w:eastAsia="Times New Roman" w:hAnsi="Times New Roman" w:cs="Times New Roman"/>
          <w:noProof/>
          <w:kern w:val="0"/>
        </w:rPr>
        <w:pict w14:anchorId="4C4B5DC0">
          <v:rect id="_x0000_i1025" style="width:0;height:1.5pt" o:hralign="center" o:hrstd="t" o:hr="t" fillcolor="#a0a0a0" stroked="f"/>
        </w:pict>
      </w:r>
    </w:p>
    <w:p w14:paraId="5D130C00" w14:textId="77777777" w:rsidR="005B2629" w:rsidRPr="005B2629" w:rsidRDefault="005B2629" w:rsidP="005B26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B2629">
        <w:rPr>
          <w:rFonts w:ascii="Times New Roman" w:eastAsia="Times New Roman" w:hAnsi="Times New Roman" w:cs="Times New Roman"/>
          <w:b/>
          <w:bCs/>
          <w:color w:val="000000"/>
          <w:kern w:val="36"/>
          <w:sz w:val="48"/>
          <w:szCs w:val="48"/>
          <w14:ligatures w14:val="none"/>
        </w:rPr>
        <w:t>Metadados para publicação</w:t>
      </w:r>
    </w:p>
    <w:p w14:paraId="3EC050BD"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b/>
          <w:bCs/>
          <w:color w:val="000000"/>
          <w:kern w:val="0"/>
          <w14:ligatures w14:val="none"/>
        </w:rPr>
        <w:lastRenderedPageBreak/>
        <w:t>Título SEO:</w:t>
      </w:r>
      <w:r w:rsidRPr="005B2629">
        <w:rPr>
          <w:rFonts w:ascii="Times New Roman" w:eastAsia="Times New Roman" w:hAnsi="Times New Roman" w:cs="Times New Roman"/>
          <w:color w:val="000000"/>
          <w:kern w:val="0"/>
          <w14:ligatures w14:val="none"/>
        </w:rPr>
        <w:t> Deformidades nos disrafismos espinhais | Tratado</w:t>
      </w:r>
    </w:p>
    <w:p w14:paraId="72E63C59"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b/>
          <w:bCs/>
          <w:color w:val="000000"/>
          <w:kern w:val="0"/>
          <w14:ligatures w14:val="none"/>
        </w:rPr>
        <w:t>Meta descrição:</w:t>
      </w:r>
      <w:r w:rsidRPr="005B2629">
        <w:rPr>
          <w:rFonts w:ascii="Times New Roman" w:eastAsia="Times New Roman" w:hAnsi="Times New Roman" w:cs="Times New Roman"/>
          <w:color w:val="000000"/>
          <w:kern w:val="0"/>
          <w14:ligatures w14:val="none"/>
        </w:rPr>
        <w:t> Deformidades nos disrafismos espinhais: fisiopatologia, avaliação, escoliose, cifose, obliquidade pélvica e tratamento multidisciplinar.</w:t>
      </w:r>
    </w:p>
    <w:p w14:paraId="05A60C6F"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b/>
          <w:bCs/>
          <w:color w:val="000000"/>
          <w:kern w:val="0"/>
          <w14:ligatures w14:val="none"/>
        </w:rPr>
        <w:t>Resumo de chamada:</w:t>
      </w:r>
      <w:r w:rsidRPr="005B2629">
        <w:rPr>
          <w:rFonts w:ascii="Times New Roman" w:eastAsia="Times New Roman" w:hAnsi="Times New Roman" w:cs="Times New Roman"/>
          <w:color w:val="000000"/>
          <w:kern w:val="0"/>
          <w14:ligatures w14:val="none"/>
        </w:rPr>
        <w:t> Abordagem integrada das deformidades nos disrafismos, relacionando neuroeixo, nível funcional, escoliose, cifose, pelve, pele e princípios da reconstrução cirúrgica.</w:t>
      </w:r>
    </w:p>
    <w:p w14:paraId="4E37B998" w14:textId="77777777" w:rsidR="005B2629" w:rsidRPr="005B2629" w:rsidRDefault="005B2629" w:rsidP="005B2629">
      <w:pPr>
        <w:spacing w:before="100" w:beforeAutospacing="1" w:after="100" w:afterAutospacing="1" w:line="240" w:lineRule="auto"/>
        <w:rPr>
          <w:rFonts w:ascii="Times New Roman" w:eastAsia="Times New Roman" w:hAnsi="Times New Roman" w:cs="Times New Roman"/>
          <w:color w:val="000000"/>
          <w:kern w:val="0"/>
          <w14:ligatures w14:val="none"/>
        </w:rPr>
      </w:pPr>
      <w:r w:rsidRPr="005B2629">
        <w:rPr>
          <w:rFonts w:ascii="Times New Roman" w:eastAsia="Times New Roman" w:hAnsi="Times New Roman" w:cs="Times New Roman"/>
          <w:b/>
          <w:bCs/>
          <w:color w:val="000000"/>
          <w:kern w:val="0"/>
          <w14:ligatures w14:val="none"/>
        </w:rPr>
        <w:t>Sugestão de slug:</w:t>
      </w:r>
      <w:r w:rsidRPr="005B2629">
        <w:rPr>
          <w:rFonts w:ascii="Times New Roman" w:eastAsia="Times New Roman" w:hAnsi="Times New Roman" w:cs="Times New Roman"/>
          <w:color w:val="000000"/>
          <w:kern w:val="0"/>
          <w14:ligatures w14:val="none"/>
        </w:rPr>
        <w:t> </w:t>
      </w:r>
      <w:r w:rsidRPr="005B2629">
        <w:rPr>
          <w:rFonts w:ascii="Courier New" w:eastAsia="Times New Roman" w:hAnsi="Courier New" w:cs="Courier New"/>
          <w:color w:val="000000"/>
          <w:kern w:val="0"/>
          <w:sz w:val="20"/>
          <w:szCs w:val="20"/>
          <w14:ligatures w14:val="none"/>
        </w:rPr>
        <w:t>deformidades-disrafismos-espinhais</w:t>
      </w:r>
    </w:p>
    <w:p w14:paraId="439D126F" w14:textId="77777777" w:rsidR="005B2629" w:rsidRDefault="005B2629"/>
    <w:sectPr w:rsidR="005B26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992AA0"/>
    <w:multiLevelType w:val="multilevel"/>
    <w:tmpl w:val="04D2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82337B"/>
    <w:multiLevelType w:val="multilevel"/>
    <w:tmpl w:val="4928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EC1B73"/>
    <w:multiLevelType w:val="multilevel"/>
    <w:tmpl w:val="8B604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6909888">
    <w:abstractNumId w:val="0"/>
  </w:num>
  <w:num w:numId="2" w16cid:durableId="1434010180">
    <w:abstractNumId w:val="2"/>
  </w:num>
  <w:num w:numId="3" w16cid:durableId="104139823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629"/>
    <w:rsid w:val="005B2629"/>
    <w:rsid w:val="00D97B59"/>
    <w:rsid w:val="00DB5164"/>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79F11"/>
  <w15:chartTrackingRefBased/>
  <w15:docId w15:val="{6567F263-8DAC-7045-A1FA-118D63E42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2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2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2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2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629"/>
    <w:rPr>
      <w:rFonts w:eastAsiaTheme="majorEastAsia" w:cstheme="majorBidi"/>
      <w:color w:val="272727" w:themeColor="text1" w:themeTint="D8"/>
    </w:rPr>
  </w:style>
  <w:style w:type="paragraph" w:styleId="Title">
    <w:name w:val="Title"/>
    <w:basedOn w:val="Normal"/>
    <w:next w:val="Normal"/>
    <w:link w:val="TitleChar"/>
    <w:uiPriority w:val="10"/>
    <w:qFormat/>
    <w:rsid w:val="005B2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629"/>
    <w:pPr>
      <w:spacing w:before="160"/>
      <w:jc w:val="center"/>
    </w:pPr>
    <w:rPr>
      <w:i/>
      <w:iCs/>
      <w:color w:val="404040" w:themeColor="text1" w:themeTint="BF"/>
    </w:rPr>
  </w:style>
  <w:style w:type="character" w:customStyle="1" w:styleId="QuoteChar">
    <w:name w:val="Quote Char"/>
    <w:basedOn w:val="DefaultParagraphFont"/>
    <w:link w:val="Quote"/>
    <w:uiPriority w:val="29"/>
    <w:rsid w:val="005B2629"/>
    <w:rPr>
      <w:i/>
      <w:iCs/>
      <w:color w:val="404040" w:themeColor="text1" w:themeTint="BF"/>
    </w:rPr>
  </w:style>
  <w:style w:type="paragraph" w:styleId="ListParagraph">
    <w:name w:val="List Paragraph"/>
    <w:basedOn w:val="Normal"/>
    <w:uiPriority w:val="34"/>
    <w:qFormat/>
    <w:rsid w:val="005B2629"/>
    <w:pPr>
      <w:ind w:left="720"/>
      <w:contextualSpacing/>
    </w:pPr>
  </w:style>
  <w:style w:type="character" w:styleId="IntenseEmphasis">
    <w:name w:val="Intense Emphasis"/>
    <w:basedOn w:val="DefaultParagraphFont"/>
    <w:uiPriority w:val="21"/>
    <w:qFormat/>
    <w:rsid w:val="005B2629"/>
    <w:rPr>
      <w:i/>
      <w:iCs/>
      <w:color w:val="0F4761" w:themeColor="accent1" w:themeShade="BF"/>
    </w:rPr>
  </w:style>
  <w:style w:type="paragraph" w:styleId="IntenseQuote">
    <w:name w:val="Intense Quote"/>
    <w:basedOn w:val="Normal"/>
    <w:next w:val="Normal"/>
    <w:link w:val="IntenseQuoteChar"/>
    <w:uiPriority w:val="30"/>
    <w:qFormat/>
    <w:rsid w:val="005B2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629"/>
    <w:rPr>
      <w:i/>
      <w:iCs/>
      <w:color w:val="0F4761" w:themeColor="accent1" w:themeShade="BF"/>
    </w:rPr>
  </w:style>
  <w:style w:type="character" w:styleId="IntenseReference">
    <w:name w:val="Intense Reference"/>
    <w:basedOn w:val="DefaultParagraphFont"/>
    <w:uiPriority w:val="32"/>
    <w:qFormat/>
    <w:rsid w:val="005B2629"/>
    <w:rPr>
      <w:b/>
      <w:bCs/>
      <w:smallCaps/>
      <w:color w:val="0F4761" w:themeColor="accent1" w:themeShade="BF"/>
      <w:spacing w:val="5"/>
    </w:rPr>
  </w:style>
  <w:style w:type="paragraph" w:styleId="NormalWeb">
    <w:name w:val="Normal (Web)"/>
    <w:basedOn w:val="Normal"/>
    <w:uiPriority w:val="99"/>
    <w:semiHidden/>
    <w:unhideWhenUsed/>
    <w:rsid w:val="005B26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2629"/>
    <w:rPr>
      <w:b/>
      <w:bCs/>
    </w:rPr>
  </w:style>
  <w:style w:type="character" w:customStyle="1" w:styleId="apple-converted-space">
    <w:name w:val="apple-converted-space"/>
    <w:basedOn w:val="DefaultParagraphFont"/>
    <w:rsid w:val="005B2629"/>
  </w:style>
  <w:style w:type="character" w:styleId="Emphasis">
    <w:name w:val="Emphasis"/>
    <w:basedOn w:val="DefaultParagraphFont"/>
    <w:uiPriority w:val="20"/>
    <w:qFormat/>
    <w:rsid w:val="005B2629"/>
    <w:rPr>
      <w:i/>
      <w:iCs/>
    </w:rPr>
  </w:style>
  <w:style w:type="character" w:styleId="Hyperlink">
    <w:name w:val="Hyperlink"/>
    <w:basedOn w:val="DefaultParagraphFont"/>
    <w:uiPriority w:val="99"/>
    <w:semiHidden/>
    <w:unhideWhenUsed/>
    <w:rsid w:val="005B2629"/>
    <w:rPr>
      <w:color w:val="0000FF"/>
      <w:u w:val="single"/>
    </w:rPr>
  </w:style>
  <w:style w:type="character" w:styleId="HTMLCode">
    <w:name w:val="HTML Code"/>
    <w:basedOn w:val="DefaultParagraphFont"/>
    <w:uiPriority w:val="99"/>
    <w:semiHidden/>
    <w:unhideWhenUsed/>
    <w:rsid w:val="005B26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2129</Words>
  <Characters>13840</Characters>
  <Application>Microsoft Office Word</Application>
  <DocSecurity>0</DocSecurity>
  <Lines>256</Lines>
  <Paragraphs>121</Paragraphs>
  <ScaleCrop>false</ScaleCrop>
  <Company/>
  <LinksUpToDate>false</LinksUpToDate>
  <CharactersWithSpaces>15848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2026-08-20T21:06:00Z</dcterms:created>
  <dcterms:modified xsi:type="dcterms:W3CDTF">2026-08-20T21:07:00Z</dcterms:modified>
</cp:coreProperties>
</file>