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532F0" w14:textId="77777777" w:rsidR="00775665" w:rsidRPr="00775665" w:rsidRDefault="00775665" w:rsidP="00775665">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775665">
        <w:rPr>
          <w:rFonts w:ascii="Times New Roman" w:eastAsia="Times New Roman" w:hAnsi="Times New Roman" w:cs="Times New Roman"/>
          <w:b/>
          <w:bCs/>
          <w:color w:val="000000"/>
          <w:kern w:val="36"/>
          <w:sz w:val="48"/>
          <w:szCs w:val="48"/>
          <w:lang w:eastAsia="pt-BR"/>
        </w:rPr>
        <w:t>Capítulo 34 — Escoliose Idiopática</w:t>
      </w:r>
    </w:p>
    <w:p w14:paraId="223FEFF0"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Identificação</w:t>
      </w:r>
    </w:p>
    <w:p w14:paraId="09E4A05C" w14:textId="1156CBC2"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b/>
          <w:bCs/>
          <w:color w:val="000000"/>
          <w:lang w:eastAsia="pt-BR"/>
        </w:rPr>
        <w:t>Número do capítulo:</w:t>
      </w:r>
      <w:r w:rsidRPr="00775665">
        <w:rPr>
          <w:rFonts w:ascii="Times New Roman" w:eastAsia="Times New Roman" w:hAnsi="Times New Roman" w:cs="Times New Roman"/>
          <w:color w:val="000000"/>
          <w:lang w:eastAsia="pt-BR"/>
        </w:rPr>
        <w:t> 34</w:t>
      </w:r>
      <w:r w:rsidRPr="00775665">
        <w:rPr>
          <w:rFonts w:ascii="Times New Roman" w:eastAsia="Times New Roman" w:hAnsi="Times New Roman" w:cs="Times New Roman"/>
          <w:color w:val="000000"/>
          <w:lang w:eastAsia="pt-BR"/>
        </w:rPr>
        <w:br/>
      </w:r>
      <w:r w:rsidRPr="00775665">
        <w:rPr>
          <w:rFonts w:ascii="Times New Roman" w:eastAsia="Times New Roman" w:hAnsi="Times New Roman" w:cs="Times New Roman"/>
          <w:b/>
          <w:bCs/>
          <w:color w:val="000000"/>
          <w:lang w:eastAsia="pt-BR"/>
        </w:rPr>
        <w:t>Título completo:</w:t>
      </w:r>
      <w:r w:rsidRPr="00775665">
        <w:rPr>
          <w:rFonts w:ascii="Times New Roman" w:eastAsia="Times New Roman" w:hAnsi="Times New Roman" w:cs="Times New Roman"/>
          <w:color w:val="000000"/>
          <w:lang w:eastAsia="pt-BR"/>
        </w:rPr>
        <w:t> Escoliose Idiopática</w:t>
      </w:r>
      <w:r w:rsidRPr="00775665">
        <w:rPr>
          <w:rFonts w:ascii="Times New Roman" w:eastAsia="Times New Roman" w:hAnsi="Times New Roman" w:cs="Times New Roman"/>
          <w:color w:val="000000"/>
          <w:lang w:eastAsia="pt-BR"/>
        </w:rPr>
        <w:br/>
      </w:r>
      <w:r w:rsidRPr="00775665">
        <w:rPr>
          <w:rFonts w:ascii="Times New Roman" w:eastAsia="Times New Roman" w:hAnsi="Times New Roman" w:cs="Times New Roman"/>
          <w:b/>
          <w:bCs/>
          <w:color w:val="000000"/>
          <w:lang w:eastAsia="pt-BR"/>
        </w:rPr>
        <w:t>Seção do Tratado:</w:t>
      </w:r>
      <w:r w:rsidRPr="00775665">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4</w:t>
      </w:r>
      <w:r w:rsidRPr="00775665">
        <w:rPr>
          <w:rFonts w:ascii="Times New Roman" w:eastAsia="Times New Roman" w:hAnsi="Times New Roman" w:cs="Times New Roman"/>
          <w:color w:val="000000"/>
          <w:lang w:eastAsia="pt-BR"/>
        </w:rPr>
        <w:t>.</w:t>
      </w:r>
    </w:p>
    <w:p w14:paraId="22E8988E"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b/>
          <w:bCs/>
          <w:color w:val="000000"/>
          <w:lang w:eastAsia="pt-BR"/>
        </w:rPr>
        <w:t>Autores</w:t>
      </w:r>
    </w:p>
    <w:p w14:paraId="50313CBA" w14:textId="77777777" w:rsidR="00775665" w:rsidRPr="00775665" w:rsidRDefault="00775665" w:rsidP="00775665">
      <w:pPr>
        <w:numPr>
          <w:ilvl w:val="0"/>
          <w:numId w:val="1"/>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Helton L. A. Defino</w:t>
      </w:r>
    </w:p>
    <w:p w14:paraId="0BF38DCE" w14:textId="77777777" w:rsidR="00775665" w:rsidRPr="00775665" w:rsidRDefault="00775665" w:rsidP="00775665">
      <w:pPr>
        <w:numPr>
          <w:ilvl w:val="0"/>
          <w:numId w:val="1"/>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Matheus Pippa Defino</w:t>
      </w:r>
    </w:p>
    <w:p w14:paraId="1993D056" w14:textId="77777777" w:rsidR="00775665" w:rsidRPr="00775665" w:rsidRDefault="00775665" w:rsidP="00775665">
      <w:pPr>
        <w:numPr>
          <w:ilvl w:val="0"/>
          <w:numId w:val="1"/>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Rian Souza Vieira</w:t>
      </w:r>
    </w:p>
    <w:p w14:paraId="2516F55D" w14:textId="77777777" w:rsidR="00775665" w:rsidRPr="00775665" w:rsidRDefault="00775665" w:rsidP="00775665">
      <w:pPr>
        <w:spacing w:beforeAutospacing="1"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b/>
          <w:bCs/>
          <w:color w:val="000000"/>
          <w:lang w:eastAsia="pt-BR"/>
        </w:rPr>
        <w:t>Nota editorial para o site</w:t>
      </w:r>
      <w:r w:rsidRPr="00775665">
        <w:rPr>
          <w:rFonts w:ascii="Times New Roman" w:eastAsia="Times New Roman" w:hAnsi="Times New Roman" w:cs="Times New Roman"/>
          <w:color w:val="000000"/>
          <w:lang w:eastAsia="pt-BR"/>
        </w:rPr>
        <w:br/>
        <w:t>Esta página apresenta os conceitos essenciais do capítulo. Limiares quantitativos de tratamento, critérios completos da classificação de Lenke, algoritmos para escolha dos níveis de artrodese, parâmetros de artrodese seletiva e indicações técnicas de modulação do crescimento permanecem reservados ao conteúdo integral do </w:t>
      </w:r>
      <w:r w:rsidRPr="00775665">
        <w:rPr>
          <w:rFonts w:ascii="Times New Roman" w:eastAsia="Times New Roman" w:hAnsi="Times New Roman" w:cs="Times New Roman"/>
          <w:i/>
          <w:iCs/>
          <w:color w:val="000000"/>
          <w:lang w:eastAsia="pt-BR"/>
        </w:rPr>
        <w:t>Tratado de Cirurgia da Coluna</w:t>
      </w:r>
      <w:r w:rsidRPr="00775665">
        <w:rPr>
          <w:rFonts w:ascii="Times New Roman" w:eastAsia="Times New Roman" w:hAnsi="Times New Roman" w:cs="Times New Roman"/>
          <w:color w:val="000000"/>
          <w:lang w:eastAsia="pt-BR"/>
        </w:rPr>
        <w:t>.</w:t>
      </w:r>
    </w:p>
    <w:p w14:paraId="7CCFB1BF"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7F6798A9">
          <v:rect id="_x0000_i1036" alt="" style="width:424.75pt;height:.05pt;mso-width-percent:0;mso-height-percent:0;mso-width-percent:0;mso-height-percent:0" o:hrpct="999" o:hralign="center" o:hrstd="t" o:hr="t" fillcolor="#a0a0a0" stroked="f"/>
        </w:pict>
      </w:r>
    </w:p>
    <w:p w14:paraId="46E2D8BC"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Contexto</w:t>
      </w:r>
    </w:p>
    <w:p w14:paraId="07A170F4"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A escoliose idiopática é a forma mais frequente de escoliose estruturada e permanece um diagnóstico de exclusão. Antes de atribuir a deformidade à forma idiopática, devem ser afastadas causas congênitas, neuromusculares, sindrômicas e relacionadas a outras doenças. Sua etiologia permanece desconhecida e provavelmente multifatorial, envolvendo predisposição genética e possíveis fatores de crescimento, biomecânicos, neurológicos, hormonais e metabólicos. A progressão não é uniforme: depende principalmente da magnitude e do padrão da curva e do crescimento remanescente. Por isso, a avaliação deve integrar exame clínico, maturidade esquelética e radiografias padronizadas, reconhecendo padrões atípicos que justifiquem investigação adicional do neuroeixo. No tratamento cirúrgico, a correção angular constitui apenas uma parte do objetivo. Equilíbrio coronal e sagital, rotação, alinhamento dos ombros e preservação do </w:t>
      </w:r>
      <w:proofErr w:type="gramStart"/>
      <w:r w:rsidRPr="00775665">
        <w:rPr>
          <w:rFonts w:ascii="Times New Roman" w:eastAsia="Times New Roman" w:hAnsi="Times New Roman" w:cs="Times New Roman"/>
          <w:color w:val="000000"/>
          <w:lang w:eastAsia="pt-BR"/>
        </w:rPr>
        <w:t>maior número possível de segmentos móveis precisam</w:t>
      </w:r>
      <w:proofErr w:type="gramEnd"/>
      <w:r w:rsidRPr="00775665">
        <w:rPr>
          <w:rFonts w:ascii="Times New Roman" w:eastAsia="Times New Roman" w:hAnsi="Times New Roman" w:cs="Times New Roman"/>
          <w:color w:val="000000"/>
          <w:lang w:eastAsia="pt-BR"/>
        </w:rPr>
        <w:t xml:space="preserve"> ser considerados para alcançar resultado duradouro e funcional.</w:t>
      </w:r>
    </w:p>
    <w:p w14:paraId="5776ED26"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4458860D">
          <v:rect id="_x0000_i1035" alt="" style="width:424.75pt;height:.05pt;mso-width-percent:0;mso-height-percent:0;mso-width-percent:0;mso-height-percent:0" o:hrpct="999" o:hralign="center" o:hrstd="t" o:hr="t" fillcolor="#a0a0a0" stroked="f"/>
        </w:pict>
      </w:r>
    </w:p>
    <w:p w14:paraId="0874A09A"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Objetivo do capítulo</w:t>
      </w:r>
    </w:p>
    <w:p w14:paraId="7D41E698"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Apresentar uma abordagem integrada da escoliose idiopática, abrangendo diagnóstico, epidemiologia, história natural, avaliação clínica e radiográfica e classificação de Lenke. O leitor deverá compreender os fatores associados à progressão, selecionar adequadamente observação ou tratamento conservador, reconhecer os princípios da </w:t>
      </w:r>
      <w:r w:rsidRPr="00775665">
        <w:rPr>
          <w:rFonts w:ascii="Times New Roman" w:eastAsia="Times New Roman" w:hAnsi="Times New Roman" w:cs="Times New Roman"/>
          <w:color w:val="000000"/>
          <w:lang w:eastAsia="pt-BR"/>
        </w:rPr>
        <w:lastRenderedPageBreak/>
        <w:t>indicação cirúrgica, planejar a extensão da artrodese e compreender possibilidades e limitações das técnicas de preservação ou modulação do crescimento.</w:t>
      </w:r>
    </w:p>
    <w:p w14:paraId="64384D54"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131B87E7">
          <v:rect id="_x0000_i1034" alt="" style="width:424.75pt;height:.05pt;mso-width-percent:0;mso-height-percent:0;mso-width-percent:0;mso-height-percent:0" o:hrpct="999" o:hralign="center" o:hrstd="t" o:hr="t" fillcolor="#a0a0a0" stroked="f"/>
        </w:pict>
      </w:r>
    </w:p>
    <w:p w14:paraId="5EFB6FF2" w14:textId="77777777" w:rsidR="00775665" w:rsidRPr="00775665" w:rsidRDefault="00775665" w:rsidP="00775665">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775665">
        <w:rPr>
          <w:rFonts w:ascii="Times New Roman" w:eastAsia="Times New Roman" w:hAnsi="Times New Roman" w:cs="Times New Roman"/>
          <w:b/>
          <w:bCs/>
          <w:color w:val="000000"/>
          <w:kern w:val="36"/>
          <w:sz w:val="48"/>
          <w:szCs w:val="48"/>
          <w:lang w:eastAsia="pt-BR"/>
        </w:rPr>
        <w:t>Conteúdo principal</w:t>
      </w:r>
    </w:p>
    <w:p w14:paraId="6F028E59"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Diagnóstico e história natural</w:t>
      </w:r>
    </w:p>
    <w:p w14:paraId="501BDAB3"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 escoliose idiopática deve ser reconhecida como uma deformidade tridimensional e somente classificada como idiopática após avaliação clínica, neurológica e radiográfica adequada. O capítulo revisa a divisão histórica por idade e diferencia as deformidades diagnosticadas precocemente da escoliose idiopática do adolescente.</w:t>
      </w:r>
    </w:p>
    <w:p w14:paraId="57A1F44B"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 evolução depende principalmente da combinação entre </w:t>
      </w:r>
      <w:r w:rsidRPr="00775665">
        <w:rPr>
          <w:rFonts w:ascii="Times New Roman" w:eastAsia="Times New Roman" w:hAnsi="Times New Roman" w:cs="Times New Roman"/>
          <w:b/>
          <w:bCs/>
          <w:color w:val="000000"/>
          <w:lang w:eastAsia="pt-BR"/>
        </w:rPr>
        <w:t>características da curva e potencial de crescimento</w:t>
      </w:r>
      <w:r w:rsidRPr="00775665">
        <w:rPr>
          <w:rFonts w:ascii="Times New Roman" w:eastAsia="Times New Roman" w:hAnsi="Times New Roman" w:cs="Times New Roman"/>
          <w:color w:val="000000"/>
          <w:lang w:eastAsia="pt-BR"/>
        </w:rPr>
        <w:t>. Curvas torácicas e padrões duplos apresentam maior tendência à progressão, especialmente durante períodos de crescimento acelerado. Após a maturidade, a evolução costuma ser mais lenta e depende da deformidade residual ao final do crescimento.</w:t>
      </w:r>
    </w:p>
    <w:p w14:paraId="7B25D754"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Avaliação clínica</w:t>
      </w:r>
    </w:p>
    <w:p w14:paraId="75C2BBE8"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Assimetria dos ombros, escápulas, mamas, cintura e tronco são manifestações frequentes. A manobra de Adams e o escoliômetro auxiliam na avaliação da rotação, ilustrada na </w:t>
      </w:r>
      <w:r w:rsidRPr="00775665">
        <w:rPr>
          <w:rFonts w:ascii="Times New Roman" w:eastAsia="Times New Roman" w:hAnsi="Times New Roman" w:cs="Times New Roman"/>
          <w:b/>
          <w:bCs/>
          <w:color w:val="000000"/>
          <w:lang w:eastAsia="pt-BR"/>
        </w:rPr>
        <w:t>Figura 4</w:t>
      </w:r>
      <w:r w:rsidRPr="00775665">
        <w:rPr>
          <w:rFonts w:ascii="Times New Roman" w:eastAsia="Times New Roman" w:hAnsi="Times New Roman" w:cs="Times New Roman"/>
          <w:color w:val="000000"/>
          <w:lang w:eastAsia="pt-BR"/>
        </w:rPr>
        <w:t>.</w:t>
      </w:r>
    </w:p>
    <w:p w14:paraId="4AAFA000"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Dor importante, déficit neurológico ou um padrão incomum de deformidade devem estimular investigação de outras causas. O exame neurológico permanece obrigatório mesmo quando se espera normalidade na escoliose idiopática. O capítulo destaca particularmente a necessidade de atenção às curvas atípicas e às manifestações que possam sugerir alterações do neuroeixo.</w:t>
      </w:r>
    </w:p>
    <w:p w14:paraId="4E9A0F6B"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Imagem e interpretação tridimensional</w:t>
      </w:r>
    </w:p>
    <w:p w14:paraId="074E5989"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Radiografias panorâmicas em ortostase constituem a base da avaliação. Devem permitir caracterização da magnitude das curvas, equilíbrio coronal e sagital, rotação e maturidade, além da identificação de vértebras de referência.</w:t>
      </w:r>
    </w:p>
    <w:p w14:paraId="63CD9231"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O ângulo de Cobb permanece a medida clínica mais utilizada, embora possua variabilidade inerente e represente apenas uma projeção bidimensional da deformidade. Estudos de inclinação lateral, tração ou outras manobras de flexibilidade são empregados principalmente para planejamento terapêutico, e não para repetição indiscriminada durante o seguimento.</w:t>
      </w:r>
    </w:p>
    <w:p w14:paraId="606E4F32"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 ressonância magnética é utilizada de maneira dirigida quando existe suspeita de etiologia não idiopática.</w:t>
      </w:r>
    </w:p>
    <w:p w14:paraId="02E11280"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Classificação de Lenke</w:t>
      </w:r>
    </w:p>
    <w:p w14:paraId="0F8F6A1B"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lastRenderedPageBreak/>
        <w:t>A classificação de Lenke organiza a escoliose idiopática do adolescente a partir do </w:t>
      </w:r>
      <w:r w:rsidRPr="00775665">
        <w:rPr>
          <w:rFonts w:ascii="Times New Roman" w:eastAsia="Times New Roman" w:hAnsi="Times New Roman" w:cs="Times New Roman"/>
          <w:b/>
          <w:bCs/>
          <w:color w:val="000000"/>
          <w:lang w:eastAsia="pt-BR"/>
        </w:rPr>
        <w:t>padrão das curvas, modificador lombar e perfil sagital torácico</w:t>
      </w:r>
      <w:r w:rsidRPr="00775665">
        <w:rPr>
          <w:rFonts w:ascii="Times New Roman" w:eastAsia="Times New Roman" w:hAnsi="Times New Roman" w:cs="Times New Roman"/>
          <w:color w:val="000000"/>
          <w:lang w:eastAsia="pt-BR"/>
        </w:rPr>
        <w:t>. As </w:t>
      </w:r>
      <w:r w:rsidRPr="00775665">
        <w:rPr>
          <w:rFonts w:ascii="Times New Roman" w:eastAsia="Times New Roman" w:hAnsi="Times New Roman" w:cs="Times New Roman"/>
          <w:b/>
          <w:bCs/>
          <w:color w:val="000000"/>
          <w:lang w:eastAsia="pt-BR"/>
        </w:rPr>
        <w:t>Figuras 8 a 12</w:t>
      </w:r>
      <w:r w:rsidRPr="00775665">
        <w:rPr>
          <w:rFonts w:ascii="Times New Roman" w:eastAsia="Times New Roman" w:hAnsi="Times New Roman" w:cs="Times New Roman"/>
          <w:color w:val="000000"/>
          <w:lang w:eastAsia="pt-BR"/>
        </w:rPr>
        <w:t> apresentam seus principais elementos.</w:t>
      </w:r>
    </w:p>
    <w:p w14:paraId="0BE64ABB"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Seu valor está em padronizar a descrição e auxiliar no planejamento cirúrgico, especialmente na distinção entre curvas estruturadas e não estruturadas. O capítulo ressalta, entretanto, sua natureza predominantemente bidimensional diante de uma deformidade verdadeiramente tridimensional.</w:t>
      </w:r>
    </w:p>
    <w:p w14:paraId="1CCDA5E7"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Tratamento e preservação de segmentos</w:t>
      </w:r>
    </w:p>
    <w:p w14:paraId="18624AB7"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Grande parte das curvas pode ser acompanhada, enquanto órteses ocupam papel relevante nos pacientes ainda em crescimento e com risco de progressão. A cirurgia é considerada de maneira multifatorial, combinando progressão, maturidade, padrão da deformidade e repercussão clínica.</w:t>
      </w:r>
    </w:p>
    <w:p w14:paraId="0DD90003"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Quando indicada, a artrodese deve incluir as curvas estruturadas e preservar, quando seguro, as curvas compensatórias. A escolha das vértebras instrumentadas procura equilibrar correção e preservação da mobilidade, especialmente na coluna lombar. As </w:t>
      </w:r>
      <w:r w:rsidRPr="00775665">
        <w:rPr>
          <w:rFonts w:ascii="Times New Roman" w:eastAsia="Times New Roman" w:hAnsi="Times New Roman" w:cs="Times New Roman"/>
          <w:b/>
          <w:bCs/>
          <w:color w:val="000000"/>
          <w:lang w:eastAsia="pt-BR"/>
        </w:rPr>
        <w:t>Figuras 18 a 24</w:t>
      </w:r>
      <w:r w:rsidRPr="00775665">
        <w:rPr>
          <w:rFonts w:ascii="Times New Roman" w:eastAsia="Times New Roman" w:hAnsi="Times New Roman" w:cs="Times New Roman"/>
          <w:color w:val="000000"/>
          <w:lang w:eastAsia="pt-BR"/>
        </w:rPr>
        <w:t> apresentam os referenciais utilizados nesse planejamento e o conceito de artrodese seletiva.</w:t>
      </w:r>
    </w:p>
    <w:p w14:paraId="58E22909"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Por fim, o capítulo discute técnicas de modulação do crescimento, como o </w:t>
      </w:r>
      <w:r w:rsidRPr="00775665">
        <w:rPr>
          <w:rFonts w:ascii="Times New Roman" w:eastAsia="Times New Roman" w:hAnsi="Times New Roman" w:cs="Times New Roman"/>
          <w:i/>
          <w:iCs/>
          <w:color w:val="000000"/>
          <w:lang w:eastAsia="pt-BR"/>
        </w:rPr>
        <w:t>vertebral body tethering</w:t>
      </w:r>
      <w:r w:rsidRPr="00775665">
        <w:rPr>
          <w:rFonts w:ascii="Times New Roman" w:eastAsia="Times New Roman" w:hAnsi="Times New Roman" w:cs="Times New Roman"/>
          <w:color w:val="000000"/>
          <w:lang w:eastAsia="pt-BR"/>
        </w:rPr>
        <w:t>. Esses métodos são apresentados como alternativas promissoras para pacientes selecionados, mas ainda dependentes de seleção rigorosa, acompanhamento e resultados de longo prazo.</w:t>
      </w:r>
    </w:p>
    <w:p w14:paraId="774D3614"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223960F7">
          <v:rect id="_x0000_i1033" alt="" style="width:424.75pt;height:.05pt;mso-width-percent:0;mso-height-percent:0;mso-width-percent:0;mso-height-percent:0" o:hrpct="999" o:hralign="center" o:hrstd="t" o:hr="t" fillcolor="#a0a0a0" stroked="f"/>
        </w:pict>
      </w:r>
    </w:p>
    <w:p w14:paraId="6820881C"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Aplicação clínica</w:t>
      </w:r>
    </w:p>
    <w:p w14:paraId="43129B46"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Na prática, o primeiro passo diante de uma escoliose é confirmar se o quadro realmente possui características idiopáticas. História, inspeção do tronco, manobra de Adams, avaliação neurológica e radiografias em ortostase devem formar um conjunto coerente. Dor desproporcional, déficit neurológico, progressão incomum ou padrão atípico devem interromper a aplicação automática do diagnóstico e motivar investigação complementar.</w:t>
      </w:r>
    </w:p>
    <w:p w14:paraId="3BDBA4FF"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Uma vez confirmado o diagnóstico, a pergunta principal passa a ser o </w:t>
      </w:r>
      <w:r w:rsidRPr="00775665">
        <w:rPr>
          <w:rFonts w:ascii="Times New Roman" w:eastAsia="Times New Roman" w:hAnsi="Times New Roman" w:cs="Times New Roman"/>
          <w:b/>
          <w:bCs/>
          <w:color w:val="000000"/>
          <w:lang w:eastAsia="pt-BR"/>
        </w:rPr>
        <w:t>risco de progressão</w:t>
      </w:r>
      <w:r w:rsidRPr="00775665">
        <w:rPr>
          <w:rFonts w:ascii="Times New Roman" w:eastAsia="Times New Roman" w:hAnsi="Times New Roman" w:cs="Times New Roman"/>
          <w:color w:val="000000"/>
          <w:lang w:eastAsia="pt-BR"/>
        </w:rPr>
        <w:t>. A magnitude atual da curva deve ser interpretada juntamente com idade esquelética e crescimento remanescente. Essa combinação orienta a frequência do acompanhamento e a escolha entre observação, órtese ou discussão cirúrgica.</w:t>
      </w:r>
    </w:p>
    <w:p w14:paraId="745598EF"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Nos pacientes candidatos à cirurgia, a classificação de Lenke organiza o padrão, mas não determina sozinha a operação. Altura dos ombros, equilíbrio do tronco, flexibilidade, perfil sagital e relação da curva com o sacro participam da escolha dos níveis.</w:t>
      </w:r>
    </w:p>
    <w:p w14:paraId="12D901E9"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lastRenderedPageBreak/>
        <w:t>A preservação dos segmentos distais é desejável, mas não às custas de descompensação ou progressão residual. A artrodese seletiva exemplifica esse equilíbrio: pode preservar mobilidade lombar quando a curva adjacente é verdadeiramente compensatória, porém uma correção excessiva ou seleção inadequada dos níveis pode produzir </w:t>
      </w:r>
      <w:r w:rsidRPr="00775665">
        <w:rPr>
          <w:rFonts w:ascii="Times New Roman" w:eastAsia="Times New Roman" w:hAnsi="Times New Roman" w:cs="Times New Roman"/>
          <w:i/>
          <w:iCs/>
          <w:color w:val="000000"/>
          <w:lang w:eastAsia="pt-BR"/>
        </w:rPr>
        <w:t>adding-on</w:t>
      </w:r>
      <w:r w:rsidRPr="00775665">
        <w:rPr>
          <w:rFonts w:ascii="Times New Roman" w:eastAsia="Times New Roman" w:hAnsi="Times New Roman" w:cs="Times New Roman"/>
          <w:color w:val="000000"/>
          <w:lang w:eastAsia="pt-BR"/>
        </w:rPr>
        <w:t> ou desequilíbrio.</w:t>
      </w:r>
    </w:p>
    <w:p w14:paraId="2A2B0F81"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As técnicas de modulação do crescimento devem ser discutidas como alternativas específicas, e não como substitutos universalmente superiores à artrodese convencional.</w:t>
      </w:r>
    </w:p>
    <w:p w14:paraId="50FE82C2"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0E49B87A">
          <v:rect id="_x0000_i1032" alt="" style="width:424.75pt;height:.05pt;mso-width-percent:0;mso-height-percent:0;mso-width-percent:0;mso-height-percent:0" o:hrpct="999" o:hralign="center" o:hrstd="t" o:hr="t" fillcolor="#a0a0a0" stroked="f"/>
        </w:pict>
      </w:r>
    </w:p>
    <w:p w14:paraId="4EEB1D79"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Mensagem central</w:t>
      </w:r>
    </w:p>
    <w:p w14:paraId="2CD6925C"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 escoliose idiopática exige mais que medir um ângulo. O diagnóstico depende da exclusão de outras etiologias, e a decisão terapêutica integra crescimento remanescente, padrão e progressão da curva, equilíbrio tridimensional e impacto clínico. Quando a cirurgia é necessária, o objetivo é controlar a deformidade preservando alinhamento, função e o maior número possível de segmentos móveis. Classificações e tecnologias auxiliam essa decisão, mas não substituem a avaliação individual do paciente.</w:t>
      </w:r>
    </w:p>
    <w:p w14:paraId="3EB9A060"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3D36E481">
          <v:rect id="_x0000_i1031" alt="" style="width:424.75pt;height:.05pt;mso-width-percent:0;mso-height-percent:0;mso-width-percent:0;mso-height-percent:0" o:hrpct="999" o:hralign="center" o:hrstd="t" o:hr="t" fillcolor="#a0a0a0" stroked="f"/>
        </w:pict>
      </w:r>
    </w:p>
    <w:p w14:paraId="724A4B41" w14:textId="77777777" w:rsidR="00775665" w:rsidRPr="00775665" w:rsidRDefault="00775665" w:rsidP="00775665">
      <w:pPr>
        <w:spacing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Por que este capítulo importa</w:t>
      </w:r>
    </w:p>
    <w:p w14:paraId="2735E849" w14:textId="77777777" w:rsidR="00775665" w:rsidRPr="00775665" w:rsidRDefault="00775665" w:rsidP="00775665">
      <w:pPr>
        <w:spacing w:before="100" w:beforeAutospacing="1"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 escoliose idiopática é frequente, mas isso não torna seu tratamento simples. O mesmo valor angular pode significar observação em um paciente e elevado risco de progressão em outro. Da mesma forma, uma grande correção radiográfica pode ser inadequada se comprometer equilíbrio, perfil sagital ou segmentos lombares desnecessariamente. O capítulo conecta diagnóstico, crescimento, flexibilidade, classificação e planejamento cirúrgico em uma sequência lógica, ajudando a evitar dois erros fundamentais: tratar como idiopática uma deformidade de outra causa e tratar a radiografia sem considerar o paciente como um todo.</w:t>
      </w:r>
    </w:p>
    <w:p w14:paraId="5A1D131B"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7DE90DF0">
          <v:rect id="_x0000_i1030" alt="" style="width:424.75pt;height:.05pt;mso-width-percent:0;mso-height-percent:0;mso-width-percent:0;mso-height-percent:0" o:hrpct="999" o:hralign="center" o:hrstd="t" o:hr="t" fillcolor="#a0a0a0" stroked="f"/>
        </w:pict>
      </w:r>
    </w:p>
    <w:p w14:paraId="2872E3CD" w14:textId="77777777" w:rsidR="00775665" w:rsidRPr="00775665" w:rsidRDefault="00775665" w:rsidP="00775665">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775665">
        <w:rPr>
          <w:rFonts w:ascii="Times New Roman" w:eastAsia="Times New Roman" w:hAnsi="Times New Roman" w:cs="Times New Roman"/>
          <w:b/>
          <w:bCs/>
          <w:color w:val="000000"/>
          <w:kern w:val="36"/>
          <w:sz w:val="48"/>
          <w:szCs w:val="48"/>
          <w:lang w:eastAsia="pt-BR"/>
        </w:rPr>
        <w:t>Palavras-chave e descritores</w:t>
      </w:r>
    </w:p>
    <w:p w14:paraId="5A9A0603"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4"/>
        <w:gridCol w:w="3121"/>
      </w:tblGrid>
      <w:tr w:rsidR="00775665" w:rsidRPr="00775665" w14:paraId="4E48213E" w14:textId="77777777" w:rsidTr="00775665">
        <w:trPr>
          <w:tblHeader/>
          <w:tblCellSpacing w:w="15" w:type="dxa"/>
        </w:trPr>
        <w:tc>
          <w:tcPr>
            <w:tcW w:w="0" w:type="auto"/>
            <w:vAlign w:val="center"/>
            <w:hideMark/>
          </w:tcPr>
          <w:p w14:paraId="61E5996C" w14:textId="77777777" w:rsidR="00775665" w:rsidRPr="00775665" w:rsidRDefault="00775665" w:rsidP="00775665">
            <w:pPr>
              <w:jc w:val="center"/>
              <w:rPr>
                <w:rFonts w:ascii="Times New Roman" w:eastAsia="Times New Roman" w:hAnsi="Times New Roman" w:cs="Times New Roman"/>
                <w:b/>
                <w:bCs/>
                <w:color w:val="000000"/>
                <w:lang w:eastAsia="pt-BR"/>
              </w:rPr>
            </w:pPr>
            <w:r w:rsidRPr="00775665">
              <w:rPr>
                <w:rFonts w:ascii="Times New Roman" w:eastAsia="Times New Roman" w:hAnsi="Times New Roman" w:cs="Times New Roman"/>
                <w:b/>
                <w:bCs/>
                <w:color w:val="000000"/>
                <w:lang w:eastAsia="pt-BR"/>
              </w:rPr>
              <w:t>DeCS — português</w:t>
            </w:r>
          </w:p>
        </w:tc>
        <w:tc>
          <w:tcPr>
            <w:tcW w:w="0" w:type="auto"/>
            <w:vAlign w:val="center"/>
            <w:hideMark/>
          </w:tcPr>
          <w:p w14:paraId="403BB97F" w14:textId="77777777" w:rsidR="00775665" w:rsidRPr="00775665" w:rsidRDefault="00775665" w:rsidP="00775665">
            <w:pPr>
              <w:jc w:val="center"/>
              <w:rPr>
                <w:rFonts w:ascii="Times New Roman" w:eastAsia="Times New Roman" w:hAnsi="Times New Roman" w:cs="Times New Roman"/>
                <w:b/>
                <w:bCs/>
                <w:color w:val="000000"/>
                <w:lang w:eastAsia="pt-BR"/>
              </w:rPr>
            </w:pPr>
            <w:r w:rsidRPr="00775665">
              <w:rPr>
                <w:rFonts w:ascii="Times New Roman" w:eastAsia="Times New Roman" w:hAnsi="Times New Roman" w:cs="Times New Roman"/>
                <w:b/>
                <w:bCs/>
                <w:color w:val="000000"/>
                <w:lang w:eastAsia="pt-BR"/>
              </w:rPr>
              <w:t>MeSH — inglês</w:t>
            </w:r>
          </w:p>
        </w:tc>
      </w:tr>
      <w:tr w:rsidR="00775665" w:rsidRPr="00775665" w14:paraId="1B6DEA44" w14:textId="77777777" w:rsidTr="00775665">
        <w:trPr>
          <w:tblCellSpacing w:w="15" w:type="dxa"/>
        </w:trPr>
        <w:tc>
          <w:tcPr>
            <w:tcW w:w="0" w:type="auto"/>
            <w:vAlign w:val="center"/>
            <w:hideMark/>
          </w:tcPr>
          <w:p w14:paraId="403014C6"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Escoliose</w:t>
            </w:r>
          </w:p>
        </w:tc>
        <w:tc>
          <w:tcPr>
            <w:tcW w:w="0" w:type="auto"/>
            <w:vAlign w:val="center"/>
            <w:hideMark/>
          </w:tcPr>
          <w:p w14:paraId="0F99D430"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Scoliosis</w:t>
            </w:r>
          </w:p>
        </w:tc>
      </w:tr>
      <w:tr w:rsidR="00775665" w:rsidRPr="00775665" w14:paraId="69853BD1" w14:textId="77777777" w:rsidTr="00775665">
        <w:trPr>
          <w:tblCellSpacing w:w="15" w:type="dxa"/>
        </w:trPr>
        <w:tc>
          <w:tcPr>
            <w:tcW w:w="0" w:type="auto"/>
            <w:vAlign w:val="center"/>
            <w:hideMark/>
          </w:tcPr>
          <w:p w14:paraId="62C0E85A"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Curvaturas da Coluna Vertebral</w:t>
            </w:r>
          </w:p>
        </w:tc>
        <w:tc>
          <w:tcPr>
            <w:tcW w:w="0" w:type="auto"/>
            <w:vAlign w:val="center"/>
            <w:hideMark/>
          </w:tcPr>
          <w:p w14:paraId="1D9EA0A2"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Spinal Curvatures</w:t>
            </w:r>
          </w:p>
        </w:tc>
      </w:tr>
      <w:tr w:rsidR="00775665" w:rsidRPr="00775665" w14:paraId="47D469E1" w14:textId="77777777" w:rsidTr="00775665">
        <w:trPr>
          <w:tblCellSpacing w:w="15" w:type="dxa"/>
        </w:trPr>
        <w:tc>
          <w:tcPr>
            <w:tcW w:w="0" w:type="auto"/>
            <w:vAlign w:val="center"/>
            <w:hideMark/>
          </w:tcPr>
          <w:p w14:paraId="3754C061"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Adolescente</w:t>
            </w:r>
          </w:p>
        </w:tc>
        <w:tc>
          <w:tcPr>
            <w:tcW w:w="0" w:type="auto"/>
            <w:vAlign w:val="center"/>
            <w:hideMark/>
          </w:tcPr>
          <w:p w14:paraId="496521F4"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Adolescent</w:t>
            </w:r>
          </w:p>
        </w:tc>
      </w:tr>
      <w:tr w:rsidR="00775665" w:rsidRPr="00775665" w14:paraId="26165F7E" w14:textId="77777777" w:rsidTr="00775665">
        <w:trPr>
          <w:tblCellSpacing w:w="15" w:type="dxa"/>
        </w:trPr>
        <w:tc>
          <w:tcPr>
            <w:tcW w:w="0" w:type="auto"/>
            <w:vAlign w:val="center"/>
            <w:hideMark/>
          </w:tcPr>
          <w:p w14:paraId="3AEEA738"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Estimativa da Idade pelo Esqueleto</w:t>
            </w:r>
          </w:p>
        </w:tc>
        <w:tc>
          <w:tcPr>
            <w:tcW w:w="0" w:type="auto"/>
            <w:vAlign w:val="center"/>
            <w:hideMark/>
          </w:tcPr>
          <w:p w14:paraId="7091D7F2"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Age Determination by Skeleton</w:t>
            </w:r>
          </w:p>
        </w:tc>
      </w:tr>
      <w:tr w:rsidR="00775665" w:rsidRPr="00775665" w14:paraId="6D241833" w14:textId="77777777" w:rsidTr="00775665">
        <w:trPr>
          <w:tblCellSpacing w:w="15" w:type="dxa"/>
        </w:trPr>
        <w:tc>
          <w:tcPr>
            <w:tcW w:w="0" w:type="auto"/>
            <w:vAlign w:val="center"/>
            <w:hideMark/>
          </w:tcPr>
          <w:p w14:paraId="435A32EC"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Radiografia</w:t>
            </w:r>
          </w:p>
        </w:tc>
        <w:tc>
          <w:tcPr>
            <w:tcW w:w="0" w:type="auto"/>
            <w:vAlign w:val="center"/>
            <w:hideMark/>
          </w:tcPr>
          <w:p w14:paraId="766072E1"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Radiography</w:t>
            </w:r>
          </w:p>
        </w:tc>
      </w:tr>
      <w:tr w:rsidR="00775665" w:rsidRPr="00775665" w14:paraId="3991BCB6" w14:textId="77777777" w:rsidTr="00775665">
        <w:trPr>
          <w:tblCellSpacing w:w="15" w:type="dxa"/>
        </w:trPr>
        <w:tc>
          <w:tcPr>
            <w:tcW w:w="0" w:type="auto"/>
            <w:vAlign w:val="center"/>
            <w:hideMark/>
          </w:tcPr>
          <w:p w14:paraId="1CC13D1D"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Imageamento por Ressonância Magnética</w:t>
            </w:r>
          </w:p>
        </w:tc>
        <w:tc>
          <w:tcPr>
            <w:tcW w:w="0" w:type="auto"/>
            <w:vAlign w:val="center"/>
            <w:hideMark/>
          </w:tcPr>
          <w:p w14:paraId="3C523A42"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Magnetic Resonance Imaging</w:t>
            </w:r>
          </w:p>
        </w:tc>
      </w:tr>
      <w:tr w:rsidR="00775665" w:rsidRPr="00775665" w14:paraId="2CA0AEFA" w14:textId="77777777" w:rsidTr="00775665">
        <w:trPr>
          <w:tblCellSpacing w:w="15" w:type="dxa"/>
        </w:trPr>
        <w:tc>
          <w:tcPr>
            <w:tcW w:w="0" w:type="auto"/>
            <w:vAlign w:val="center"/>
            <w:hideMark/>
          </w:tcPr>
          <w:p w14:paraId="27015794"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lastRenderedPageBreak/>
              <w:t>Fusão Vertebral</w:t>
            </w:r>
          </w:p>
        </w:tc>
        <w:tc>
          <w:tcPr>
            <w:tcW w:w="0" w:type="auto"/>
            <w:vAlign w:val="center"/>
            <w:hideMark/>
          </w:tcPr>
          <w:p w14:paraId="79898AD9" w14:textId="77777777" w:rsidR="00775665" w:rsidRPr="00775665" w:rsidRDefault="00775665" w:rsidP="00775665">
            <w:pPr>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Spinal Fusion</w:t>
            </w:r>
          </w:p>
        </w:tc>
      </w:tr>
    </w:tbl>
    <w:p w14:paraId="712B1038"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Palavras-chave livres adicionais</w:t>
      </w:r>
    </w:p>
    <w:p w14:paraId="1C1A262A"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b/>
          <w:bCs/>
          <w:color w:val="000000"/>
          <w:lang w:eastAsia="pt-BR"/>
        </w:rPr>
        <w:t>Escoliose idiopática do adolescente; classificação de Lenke; ângulo de Cobb; maturidade esquelética; artrodese seletiva; </w:t>
      </w:r>
      <w:r w:rsidRPr="00775665">
        <w:rPr>
          <w:rFonts w:ascii="Times New Roman" w:eastAsia="Times New Roman" w:hAnsi="Times New Roman" w:cs="Times New Roman"/>
          <w:b/>
          <w:bCs/>
          <w:i/>
          <w:iCs/>
          <w:color w:val="000000"/>
          <w:lang w:eastAsia="pt-BR"/>
        </w:rPr>
        <w:t>adding-on</w:t>
      </w:r>
      <w:r w:rsidRPr="00775665">
        <w:rPr>
          <w:rFonts w:ascii="Times New Roman" w:eastAsia="Times New Roman" w:hAnsi="Times New Roman" w:cs="Times New Roman"/>
          <w:b/>
          <w:bCs/>
          <w:color w:val="000000"/>
          <w:lang w:eastAsia="pt-BR"/>
        </w:rPr>
        <w:t>; vértebra estável; vértebra neutra; modulação do crescimento; vertebral body tethering.</w:t>
      </w:r>
    </w:p>
    <w:p w14:paraId="3236C970"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70C8B1A9">
          <v:rect id="_x0000_i1029" alt="" style="width:424.75pt;height:.05pt;mso-width-percent:0;mso-height-percent:0;mso-width-percent:0;mso-height-percent:0" o:hrpct="999" o:hralign="center" o:hrstd="t" o:hr="t" fillcolor="#a0a0a0" stroked="f"/>
        </w:pict>
      </w:r>
    </w:p>
    <w:p w14:paraId="7ADA9FA8" w14:textId="77777777" w:rsidR="00775665" w:rsidRPr="00775665" w:rsidRDefault="00775665" w:rsidP="00775665">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775665">
        <w:rPr>
          <w:rFonts w:ascii="Times New Roman" w:eastAsia="Times New Roman" w:hAnsi="Times New Roman" w:cs="Times New Roman"/>
          <w:b/>
          <w:bCs/>
          <w:color w:val="000000"/>
          <w:kern w:val="36"/>
          <w:sz w:val="48"/>
          <w:szCs w:val="48"/>
          <w:lang w:eastAsia="pt-BR"/>
        </w:rPr>
        <w:t>Três cards de destaque</w:t>
      </w:r>
    </w:p>
    <w:p w14:paraId="302BE54C"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Card 1 — Conceito essencial</w:t>
      </w:r>
    </w:p>
    <w:p w14:paraId="1F08526D"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Idiopática é diagnóstico de exclusão</w:t>
      </w:r>
    </w:p>
    <w:p w14:paraId="1D4EF3D2"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Uma curva estrutural não deve ser denominada idiopática apenas por sua aparência radiográfica. História, exame neurológico e padrão da deformidade precisam ser compatíveis e outras causas devem ser afastadas. Achados atípicos devem reabrir a investigação antes que o paciente seja incluído em um algoritmo de tratamento para escoliose idiopática.</w:t>
      </w:r>
    </w:p>
    <w:p w14:paraId="78EC790E"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5E549BCD">
          <v:rect id="_x0000_i1028" alt="" style="width:424.75pt;height:.05pt;mso-width-percent:0;mso-height-percent:0;mso-width-percent:0;mso-height-percent:0" o:hrpct="999" o:hralign="center" o:hrstd="t" o:hr="t" fillcolor="#a0a0a0" stroked="f"/>
        </w:pict>
      </w:r>
    </w:p>
    <w:p w14:paraId="22ED1004"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Card 2 — Decisão clínica</w:t>
      </w:r>
    </w:p>
    <w:p w14:paraId="7B8C1BBA"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Crescimento muda o risco</w:t>
      </w:r>
    </w:p>
    <w:p w14:paraId="4910AA34"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proofErr w:type="gramStart"/>
      <w:r w:rsidRPr="00775665">
        <w:rPr>
          <w:rFonts w:ascii="Times New Roman" w:eastAsia="Times New Roman" w:hAnsi="Times New Roman" w:cs="Times New Roman"/>
          <w:color w:val="000000"/>
          <w:lang w:eastAsia="pt-BR"/>
        </w:rPr>
        <w:t>A mesma curva</w:t>
      </w:r>
      <w:proofErr w:type="gramEnd"/>
      <w:r w:rsidRPr="00775665">
        <w:rPr>
          <w:rFonts w:ascii="Times New Roman" w:eastAsia="Times New Roman" w:hAnsi="Times New Roman" w:cs="Times New Roman"/>
          <w:color w:val="000000"/>
          <w:lang w:eastAsia="pt-BR"/>
        </w:rPr>
        <w:t xml:space="preserve"> pode ter significados diferentes conforme o crescimento remanescente. Maturidade esquelética, fase puberal, padrão e comportamento radiográfico precisam ser analisados em conjunto. Avaliar apenas o valor atual do Cobb pode subestimar o risco de progressão ou levar a tratamento excessivo de uma curva estável.</w:t>
      </w:r>
    </w:p>
    <w:p w14:paraId="1F5E5BA5"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6EE9E79A">
          <v:rect id="_x0000_i1027" alt="" style="width:424.75pt;height:.05pt;mso-width-percent:0;mso-height-percent:0;mso-width-percent:0;mso-height-percent:0" o:hrpct="999" o:hralign="center" o:hrstd="t" o:hr="t" fillcolor="#a0a0a0" stroked="f"/>
        </w:pict>
      </w:r>
    </w:p>
    <w:p w14:paraId="01EE78C0" w14:textId="77777777" w:rsidR="00775665" w:rsidRPr="00775665" w:rsidRDefault="00775665" w:rsidP="00775665">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775665">
        <w:rPr>
          <w:rFonts w:ascii="Times New Roman" w:eastAsia="Times New Roman" w:hAnsi="Times New Roman" w:cs="Times New Roman"/>
          <w:b/>
          <w:bCs/>
          <w:color w:val="000000"/>
          <w:sz w:val="36"/>
          <w:szCs w:val="36"/>
          <w:lang w:eastAsia="pt-BR"/>
        </w:rPr>
        <w:t>Card 3 — Pérola ou alerta</w:t>
      </w:r>
    </w:p>
    <w:p w14:paraId="349B0CE2" w14:textId="77777777" w:rsidR="00775665" w:rsidRPr="00775665" w:rsidRDefault="00775665" w:rsidP="00775665">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775665">
        <w:rPr>
          <w:rFonts w:ascii="Times New Roman" w:eastAsia="Times New Roman" w:hAnsi="Times New Roman" w:cs="Times New Roman"/>
          <w:b/>
          <w:bCs/>
          <w:color w:val="000000"/>
          <w:sz w:val="27"/>
          <w:szCs w:val="27"/>
          <w:lang w:eastAsia="pt-BR"/>
        </w:rPr>
        <w:t>Preserve mobilidade sem perder equilíbrio</w:t>
      </w:r>
    </w:p>
    <w:p w14:paraId="3B49F73F"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Artrodesar menos segmentos pode oferecer benefício funcional, especialmente na coluna lombar, mas somente quando a curva não incluída consegue compensar adequadamente a correção. Hipercorreção, </w:t>
      </w:r>
      <w:proofErr w:type="gramStart"/>
      <w:r w:rsidRPr="00775665">
        <w:rPr>
          <w:rFonts w:ascii="Times New Roman" w:eastAsia="Times New Roman" w:hAnsi="Times New Roman" w:cs="Times New Roman"/>
          <w:color w:val="000000"/>
          <w:lang w:eastAsia="pt-BR"/>
        </w:rPr>
        <w:t>seleção inadequada dos níveis ou interpretação equivocada da estruturação podem</w:t>
      </w:r>
      <w:proofErr w:type="gramEnd"/>
      <w:r w:rsidRPr="00775665">
        <w:rPr>
          <w:rFonts w:ascii="Times New Roman" w:eastAsia="Times New Roman" w:hAnsi="Times New Roman" w:cs="Times New Roman"/>
          <w:color w:val="000000"/>
          <w:lang w:eastAsia="pt-BR"/>
        </w:rPr>
        <w:t xml:space="preserve"> resultar em descompensação, </w:t>
      </w:r>
      <w:r w:rsidRPr="00775665">
        <w:rPr>
          <w:rFonts w:ascii="Times New Roman" w:eastAsia="Times New Roman" w:hAnsi="Times New Roman" w:cs="Times New Roman"/>
          <w:i/>
          <w:iCs/>
          <w:color w:val="000000"/>
          <w:lang w:eastAsia="pt-BR"/>
        </w:rPr>
        <w:t>adding-on</w:t>
      </w:r>
      <w:r w:rsidRPr="00775665">
        <w:rPr>
          <w:rFonts w:ascii="Times New Roman" w:eastAsia="Times New Roman" w:hAnsi="Times New Roman" w:cs="Times New Roman"/>
          <w:color w:val="000000"/>
          <w:lang w:eastAsia="pt-BR"/>
        </w:rPr>
        <w:t> e necessidade de revisão.</w:t>
      </w:r>
    </w:p>
    <w:p w14:paraId="1F9EFEC2"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lastRenderedPageBreak/>
        <w:pict w14:anchorId="1E6700E0">
          <v:rect id="_x0000_i1026" alt="" style="width:424.75pt;height:.05pt;mso-width-percent:0;mso-height-percent:0;mso-width-percent:0;mso-height-percent:0" o:hrpct="999" o:hralign="center" o:hrstd="t" o:hr="t" fillcolor="#a0a0a0" stroked="f"/>
        </w:pict>
      </w:r>
    </w:p>
    <w:p w14:paraId="31A02E45" w14:textId="77777777" w:rsidR="00775665" w:rsidRPr="00775665" w:rsidRDefault="00775665" w:rsidP="00775665">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775665">
        <w:rPr>
          <w:rFonts w:ascii="Times New Roman" w:eastAsia="Times New Roman" w:hAnsi="Times New Roman" w:cs="Times New Roman"/>
          <w:b/>
          <w:bCs/>
          <w:color w:val="000000"/>
          <w:kern w:val="36"/>
          <w:sz w:val="48"/>
          <w:szCs w:val="48"/>
          <w:lang w:eastAsia="pt-BR"/>
        </w:rPr>
        <w:t>Referências bibliográficas</w:t>
      </w:r>
    </w:p>
    <w:p w14:paraId="6E568560"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775665">
        <w:rPr>
          <w:rFonts w:ascii="Times New Roman" w:eastAsia="Times New Roman" w:hAnsi="Times New Roman" w:cs="Times New Roman"/>
          <w:color w:val="000000"/>
          <w:lang w:val="en-US" w:eastAsia="pt-BR"/>
        </w:rPr>
        <w:t>Rogala EJ, Drummond DS, Gurr J. Scoliosis: incidence and natural history. A prospective epidemiological study. J Bone Joint Surg Am. 1978;60(2):173-6. PMID: 641080.</w:t>
      </w:r>
    </w:p>
    <w:p w14:paraId="0847943D"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Branthwaite MA. Cardiorespiratory consequences of unfused idiopathic scoliosis. </w:t>
      </w:r>
      <w:r w:rsidRPr="00775665">
        <w:rPr>
          <w:rFonts w:ascii="Times New Roman" w:eastAsia="Times New Roman" w:hAnsi="Times New Roman" w:cs="Times New Roman"/>
          <w:color w:val="000000"/>
          <w:lang w:eastAsia="pt-BR"/>
        </w:rPr>
        <w:t>Br J Dis Chest. 1986;80(4):360-9. doi:10.1016/0007-0971(86)90089-6. PMID: 3620323.</w:t>
      </w:r>
    </w:p>
    <w:p w14:paraId="3D0E8C0D"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Pehrsson K, Larsson S, Oden A, Nachemson A. Long-term follow-up of patients with untreated scoliosis. </w:t>
      </w:r>
      <w:proofErr w:type="gramStart"/>
      <w:r w:rsidRPr="00775665">
        <w:rPr>
          <w:rFonts w:ascii="Times New Roman" w:eastAsia="Times New Roman" w:hAnsi="Times New Roman" w:cs="Times New Roman"/>
          <w:color w:val="000000"/>
          <w:lang w:val="en-US" w:eastAsia="pt-BR"/>
        </w:rPr>
        <w:t>A study of mortality,</w:t>
      </w:r>
      <w:proofErr w:type="gramEnd"/>
      <w:r w:rsidRPr="00775665">
        <w:rPr>
          <w:rFonts w:ascii="Times New Roman" w:eastAsia="Times New Roman" w:hAnsi="Times New Roman" w:cs="Times New Roman"/>
          <w:color w:val="000000"/>
          <w:lang w:val="en-US" w:eastAsia="pt-BR"/>
        </w:rPr>
        <w:t xml:space="preserve"> causes of death, and symptoms. Spine (Phila Pa 1976). </w:t>
      </w:r>
      <w:r w:rsidRPr="00775665">
        <w:rPr>
          <w:rFonts w:ascii="Times New Roman" w:eastAsia="Times New Roman" w:hAnsi="Times New Roman" w:cs="Times New Roman"/>
          <w:color w:val="000000"/>
          <w:lang w:eastAsia="pt-BR"/>
        </w:rPr>
        <w:t>1992;17(9):1091-6. doi:10.1097/00007632-199209000-0014. PMID: 1411763.</w:t>
      </w:r>
    </w:p>
    <w:p w14:paraId="721FA8C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Dickson RA. Idiopathic scoliosis: foundation for physiological treatment. </w:t>
      </w:r>
      <w:r w:rsidRPr="00775665">
        <w:rPr>
          <w:rFonts w:ascii="Times New Roman" w:eastAsia="Times New Roman" w:hAnsi="Times New Roman" w:cs="Times New Roman"/>
          <w:color w:val="000000"/>
          <w:lang w:eastAsia="pt-BR"/>
        </w:rPr>
        <w:t>Ann R Coll Surg Engl. 1987;69(3):89-96. PMID: 3606008; PMCID: PMC2498483.</w:t>
      </w:r>
    </w:p>
    <w:p w14:paraId="439B0D9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Diab M, Landman Z, Lubicky J, Dormans J, Erickson M, Richards BS. Use and outcome of MRI in the surgical treatment of adolescent idiopathic scoliosis. </w:t>
      </w:r>
      <w:r w:rsidRPr="00775665">
        <w:rPr>
          <w:rFonts w:ascii="Times New Roman" w:eastAsia="Times New Roman" w:hAnsi="Times New Roman" w:cs="Times New Roman"/>
          <w:color w:val="000000"/>
          <w:lang w:eastAsia="pt-BR"/>
        </w:rPr>
        <w:t>Spine (Phila Pa 1976). 2011;36(8):667-671.</w:t>
      </w:r>
    </w:p>
    <w:p w14:paraId="2E6573AF"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Petrosyan E, Fares J, Ahuja CS, Lesniak MS, Koski TR, Dahdaleh NS, El Tecle NE. </w:t>
      </w:r>
      <w:r w:rsidRPr="00775665">
        <w:rPr>
          <w:rFonts w:ascii="Times New Roman" w:eastAsia="Times New Roman" w:hAnsi="Times New Roman" w:cs="Times New Roman"/>
          <w:color w:val="000000"/>
          <w:lang w:val="en-US" w:eastAsia="pt-BR"/>
        </w:rPr>
        <w:t xml:space="preserve">Genetics and pathogenesis of scoliosis. N Am Spine Soc J. </w:t>
      </w:r>
      <w:proofErr w:type="gramStart"/>
      <w:r w:rsidRPr="00775665">
        <w:rPr>
          <w:rFonts w:ascii="Times New Roman" w:eastAsia="Times New Roman" w:hAnsi="Times New Roman" w:cs="Times New Roman"/>
          <w:color w:val="000000"/>
          <w:lang w:val="en-US" w:eastAsia="pt-BR"/>
        </w:rPr>
        <w:t>2024;20:100556</w:t>
      </w:r>
      <w:proofErr w:type="gramEnd"/>
      <w:r w:rsidRPr="00775665">
        <w:rPr>
          <w:rFonts w:ascii="Times New Roman" w:eastAsia="Times New Roman" w:hAnsi="Times New Roman" w:cs="Times New Roman"/>
          <w:color w:val="000000"/>
          <w:lang w:val="en-US" w:eastAsia="pt-BR"/>
        </w:rPr>
        <w:t xml:space="preserve">. </w:t>
      </w:r>
      <w:proofErr w:type="gramStart"/>
      <w:r w:rsidRPr="00775665">
        <w:rPr>
          <w:rFonts w:ascii="Times New Roman" w:eastAsia="Times New Roman" w:hAnsi="Times New Roman" w:cs="Times New Roman"/>
          <w:color w:val="000000"/>
          <w:lang w:val="en-US" w:eastAsia="pt-BR"/>
        </w:rPr>
        <w:t>doi:10.1016/j.xnsj</w:t>
      </w:r>
      <w:proofErr w:type="gramEnd"/>
      <w:r w:rsidRPr="00775665">
        <w:rPr>
          <w:rFonts w:ascii="Times New Roman" w:eastAsia="Times New Roman" w:hAnsi="Times New Roman" w:cs="Times New Roman"/>
          <w:color w:val="000000"/>
          <w:lang w:val="en-US" w:eastAsia="pt-BR"/>
        </w:rPr>
        <w:t xml:space="preserve">.2024.100556. </w:t>
      </w:r>
      <w:r w:rsidRPr="00775665">
        <w:rPr>
          <w:rFonts w:ascii="Times New Roman" w:eastAsia="Times New Roman" w:hAnsi="Times New Roman" w:cs="Times New Roman"/>
          <w:color w:val="000000"/>
          <w:lang w:eastAsia="pt-BR"/>
        </w:rPr>
        <w:t>PMID: 39399722; PMCID: PMC11470263.</w:t>
      </w:r>
    </w:p>
    <w:p w14:paraId="0513D6E5"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775665">
        <w:rPr>
          <w:rFonts w:ascii="Times New Roman" w:eastAsia="Times New Roman" w:hAnsi="Times New Roman" w:cs="Times New Roman"/>
          <w:color w:val="000000"/>
          <w:lang w:val="en-US" w:eastAsia="pt-BR"/>
        </w:rPr>
        <w:t>Marya S, Tambe AD, Millner PA, Tsirikos AI. Adolescent idiopathic scoliosis: a review of aetiological theories of a multifactorial disease. Bone Joint J. 2022;104-</w:t>
      </w:r>
      <w:proofErr w:type="gramStart"/>
      <w:r w:rsidRPr="00775665">
        <w:rPr>
          <w:rFonts w:ascii="Times New Roman" w:eastAsia="Times New Roman" w:hAnsi="Times New Roman" w:cs="Times New Roman"/>
          <w:color w:val="000000"/>
          <w:lang w:val="en-US" w:eastAsia="pt-BR"/>
        </w:rPr>
        <w:t>B(</w:t>
      </w:r>
      <w:proofErr w:type="gramEnd"/>
      <w:r w:rsidRPr="00775665">
        <w:rPr>
          <w:rFonts w:ascii="Times New Roman" w:eastAsia="Times New Roman" w:hAnsi="Times New Roman" w:cs="Times New Roman"/>
          <w:color w:val="000000"/>
          <w:lang w:val="en-US" w:eastAsia="pt-BR"/>
        </w:rPr>
        <w:t xml:space="preserve">8):915-921. </w:t>
      </w:r>
      <w:proofErr w:type="gramStart"/>
      <w:r w:rsidRPr="00775665">
        <w:rPr>
          <w:rFonts w:ascii="Times New Roman" w:eastAsia="Times New Roman" w:hAnsi="Times New Roman" w:cs="Times New Roman"/>
          <w:color w:val="000000"/>
          <w:lang w:val="en-US" w:eastAsia="pt-BR"/>
        </w:rPr>
        <w:t>doi:10.1302/0301-620X.104B8.BJJ</w:t>
      </w:r>
      <w:proofErr w:type="gramEnd"/>
      <w:r w:rsidRPr="00775665">
        <w:rPr>
          <w:rFonts w:ascii="Times New Roman" w:eastAsia="Times New Roman" w:hAnsi="Times New Roman" w:cs="Times New Roman"/>
          <w:color w:val="000000"/>
          <w:lang w:val="en-US" w:eastAsia="pt-BR"/>
        </w:rPr>
        <w:t>-2021-1638.R1. PMID: 35909373.</w:t>
      </w:r>
    </w:p>
    <w:p w14:paraId="6527CC42"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de Azevedo GBL, Perini JA, Araújo Junior AEP, Moliterno LAM, Andrande RM, Guimarães JAM, Defino HLA. </w:t>
      </w:r>
      <w:r w:rsidRPr="00775665">
        <w:rPr>
          <w:rFonts w:ascii="Times New Roman" w:eastAsia="Times New Roman" w:hAnsi="Times New Roman" w:cs="Times New Roman"/>
          <w:color w:val="000000"/>
          <w:lang w:val="en-US" w:eastAsia="pt-BR"/>
        </w:rPr>
        <w:t xml:space="preserve">Association of FBN1 polymorphism with susceptibility of adolescent idiopathic scoliosis: a case-control study. </w:t>
      </w:r>
      <w:r w:rsidRPr="00775665">
        <w:rPr>
          <w:rFonts w:ascii="Times New Roman" w:eastAsia="Times New Roman" w:hAnsi="Times New Roman" w:cs="Times New Roman"/>
          <w:color w:val="000000"/>
          <w:lang w:eastAsia="pt-BR"/>
        </w:rPr>
        <w:t>BMC Musculoskelet Disord. 2022;23(1):430. doi:10.1186/s12891-022-05370-1. PMID: 35526034; PMCID: PMC9077855.</w:t>
      </w:r>
    </w:p>
    <w:p w14:paraId="42D3DB3D"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775665">
        <w:rPr>
          <w:rFonts w:ascii="Times New Roman" w:eastAsia="Times New Roman" w:hAnsi="Times New Roman" w:cs="Times New Roman"/>
          <w:color w:val="000000"/>
          <w:lang w:eastAsia="pt-BR"/>
        </w:rPr>
        <w:t xml:space="preserve">Pedrosa AE, de Azevedo GBL, Cardoso JV, Guimarães JAM, Defino HLA, Perini JA. </w:t>
      </w:r>
      <w:r w:rsidRPr="00775665">
        <w:rPr>
          <w:rFonts w:ascii="Times New Roman" w:eastAsia="Times New Roman" w:hAnsi="Times New Roman" w:cs="Times New Roman"/>
          <w:color w:val="000000"/>
          <w:lang w:val="en-US" w:eastAsia="pt-BR"/>
        </w:rPr>
        <w:t xml:space="preserve">Polymorphisms in paired box 1 gene were associated with susceptibility of adolescent idiopathic scoliosis: a case-control study. J Craniovertebr Junction Spine. 2022;13(3):318-324. </w:t>
      </w:r>
      <w:proofErr w:type="gramStart"/>
      <w:r w:rsidRPr="00775665">
        <w:rPr>
          <w:rFonts w:ascii="Times New Roman" w:eastAsia="Times New Roman" w:hAnsi="Times New Roman" w:cs="Times New Roman"/>
          <w:color w:val="000000"/>
          <w:lang w:val="en-US" w:eastAsia="pt-BR"/>
        </w:rPr>
        <w:t>doi:10.4103/jcvjs.jcvjs</w:t>
      </w:r>
      <w:proofErr w:type="gramEnd"/>
      <w:r w:rsidRPr="00775665">
        <w:rPr>
          <w:rFonts w:ascii="Times New Roman" w:eastAsia="Times New Roman" w:hAnsi="Times New Roman" w:cs="Times New Roman"/>
          <w:color w:val="000000"/>
          <w:lang w:val="en-US" w:eastAsia="pt-BR"/>
        </w:rPr>
        <w:t>_54_22. PMID: 36263348; PMCID: PMC9574104.</w:t>
      </w:r>
    </w:p>
    <w:p w14:paraId="548E9624"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Araujo Junior AEP, de Azevedo GBL, Moliterno LAM, Tavares RH, Cardoso JV, de Souza GR, Guimarães JAM, Defino HLA, Perini JA. </w:t>
      </w:r>
      <w:r w:rsidRPr="00775665">
        <w:rPr>
          <w:rFonts w:ascii="Times New Roman" w:eastAsia="Times New Roman" w:hAnsi="Times New Roman" w:cs="Times New Roman"/>
          <w:color w:val="000000"/>
          <w:lang w:val="en-US" w:eastAsia="pt-BR"/>
        </w:rPr>
        <w:t xml:space="preserve">Association of polymorphism in leptin receptor gene with susceptibility of adolescent idiopathic scoliosis. </w:t>
      </w:r>
      <w:r w:rsidRPr="00775665">
        <w:rPr>
          <w:rFonts w:ascii="Times New Roman" w:eastAsia="Times New Roman" w:hAnsi="Times New Roman" w:cs="Times New Roman"/>
          <w:color w:val="000000"/>
          <w:lang w:eastAsia="pt-BR"/>
        </w:rPr>
        <w:t>Eur Spine J. 2024;33(2):646-654. doi:10.1007/s00586-023-07955-3. PMID: 37801129.</w:t>
      </w:r>
    </w:p>
    <w:p w14:paraId="7D22BAE4"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775665">
        <w:rPr>
          <w:rFonts w:ascii="Times New Roman" w:eastAsia="Times New Roman" w:hAnsi="Times New Roman" w:cs="Times New Roman"/>
          <w:color w:val="000000"/>
          <w:lang w:val="en-US" w:eastAsia="pt-BR"/>
        </w:rPr>
        <w:t>Newton PO, O’Brien MF, Schufflebarger HL, Betz RR, Dickson RA, Harms J, editors. Idiopathic scoliosis: the Harms Study Group treatment guide. New York: Thieme; 2010.</w:t>
      </w:r>
    </w:p>
    <w:p w14:paraId="3868B88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Tis JE, Karlin LI, Akbarnia BA, Blakemore LC, Thompson GH, McCarthy RE, et al. Early onset scoliosis: modern treatment and results. J Pediatr Orthop. </w:t>
      </w:r>
      <w:r w:rsidRPr="00775665">
        <w:rPr>
          <w:rFonts w:ascii="Times New Roman" w:eastAsia="Times New Roman" w:hAnsi="Times New Roman" w:cs="Times New Roman"/>
          <w:color w:val="000000"/>
          <w:lang w:eastAsia="pt-BR"/>
        </w:rPr>
        <w:t>2012;32(7):647-57.</w:t>
      </w:r>
    </w:p>
    <w:p w14:paraId="247C356A"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lastRenderedPageBreak/>
        <w:t xml:space="preserve">Weinstein SL, Ponseti IV. Curve progression in idiopathic scoliosis. </w:t>
      </w:r>
      <w:r w:rsidRPr="00775665">
        <w:rPr>
          <w:rFonts w:ascii="Times New Roman" w:eastAsia="Times New Roman" w:hAnsi="Times New Roman" w:cs="Times New Roman"/>
          <w:color w:val="000000"/>
          <w:lang w:eastAsia="pt-BR"/>
        </w:rPr>
        <w:t>J Bone Joint Surg Am. 1983;65(4):447-455.</w:t>
      </w:r>
    </w:p>
    <w:p w14:paraId="4C19EE96"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Robinson CM, McMaster MJ. Juvenile idiopathic scoliosis. Curve patterns and prognosis in one hundred and nine patients. </w:t>
      </w:r>
      <w:r w:rsidRPr="00775665">
        <w:rPr>
          <w:rFonts w:ascii="Times New Roman" w:eastAsia="Times New Roman" w:hAnsi="Times New Roman" w:cs="Times New Roman"/>
          <w:color w:val="000000"/>
          <w:lang w:eastAsia="pt-BR"/>
        </w:rPr>
        <w:t>J Bone Joint Surg Am. 1996;78(8):1140-8.</w:t>
      </w:r>
    </w:p>
    <w:p w14:paraId="19E2CA7C"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Ramirez N, Johnston CE, Browne RH. The prevalence of back pain in children who have idiopathic scoliosis. </w:t>
      </w:r>
      <w:r w:rsidRPr="00775665">
        <w:rPr>
          <w:rFonts w:ascii="Times New Roman" w:eastAsia="Times New Roman" w:hAnsi="Times New Roman" w:cs="Times New Roman"/>
          <w:color w:val="000000"/>
          <w:lang w:eastAsia="pt-BR"/>
        </w:rPr>
        <w:t>J Bone Joint Surg Am. 1997;79(3):364-8. doi:10.2106/00004623-199703000-00007. PMID: 9070524.</w:t>
      </w:r>
    </w:p>
    <w:p w14:paraId="2C7EB04B"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Ouellet JA, LaPlaza J, Erickson MA, Birch JG, Burke S, Browne R. Sagittal plane deformity in the thoracic spine: a clue to the presence of syringomyelia as a cause of scoliosis. </w:t>
      </w:r>
      <w:r w:rsidRPr="00775665">
        <w:rPr>
          <w:rFonts w:ascii="Times New Roman" w:eastAsia="Times New Roman" w:hAnsi="Times New Roman" w:cs="Times New Roman"/>
          <w:color w:val="000000"/>
          <w:lang w:eastAsia="pt-BR"/>
        </w:rPr>
        <w:t>Spine (Phila Pa 1976). 2003;28(18):2147-51. doi:10.1097/01.BRS.0000091831.50507.46. PMID: 14501927.</w:t>
      </w:r>
    </w:p>
    <w:p w14:paraId="133DFE66"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Schwend RM, Hennrikus W, Hall JE, Emans JB. Childhood scoliosis: clinical indications for magnetic resonance imaging. </w:t>
      </w:r>
      <w:r w:rsidRPr="00775665">
        <w:rPr>
          <w:rFonts w:ascii="Times New Roman" w:eastAsia="Times New Roman" w:hAnsi="Times New Roman" w:cs="Times New Roman"/>
          <w:color w:val="000000"/>
          <w:lang w:eastAsia="pt-BR"/>
        </w:rPr>
        <w:t>J Bone Joint Surg Am. 1995;77(1):46-53. PMID: 7822355.</w:t>
      </w:r>
    </w:p>
    <w:p w14:paraId="4C5537AA"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Pahys JM, Samdani AF, Betz RR. Intraspinal anomalies in infantile idiopathic scoliosis: prevalence and role of magnetic resonance imaging. </w:t>
      </w:r>
      <w:r w:rsidRPr="00775665">
        <w:rPr>
          <w:rFonts w:ascii="Times New Roman" w:eastAsia="Times New Roman" w:hAnsi="Times New Roman" w:cs="Times New Roman"/>
          <w:color w:val="000000"/>
          <w:lang w:eastAsia="pt-BR"/>
        </w:rPr>
        <w:t>Spine (Phila Pa 1976). 2009;34(12):E434-8. doi:10.1097/BRS.0b013e3181a2b49f. PMID: 19454995.</w:t>
      </w:r>
    </w:p>
    <w:p w14:paraId="7C455FD4"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Aubin CE, Dansereau J, Petit Y, Parent F, de Guise JA, Labelle H. </w:t>
      </w:r>
      <w:proofErr w:type="gramStart"/>
      <w:r w:rsidRPr="00775665">
        <w:rPr>
          <w:rFonts w:ascii="Times New Roman" w:eastAsia="Times New Roman" w:hAnsi="Times New Roman" w:cs="Times New Roman"/>
          <w:color w:val="000000"/>
          <w:lang w:val="en-US" w:eastAsia="pt-BR"/>
        </w:rPr>
        <w:t>Three dimensional</w:t>
      </w:r>
      <w:proofErr w:type="gramEnd"/>
      <w:r w:rsidRPr="00775665">
        <w:rPr>
          <w:rFonts w:ascii="Times New Roman" w:eastAsia="Times New Roman" w:hAnsi="Times New Roman" w:cs="Times New Roman"/>
          <w:color w:val="000000"/>
          <w:lang w:val="en-US" w:eastAsia="pt-BR"/>
        </w:rPr>
        <w:t xml:space="preserve"> measurement of wedged scoliotic vertebrae and intervertebral discs. </w:t>
      </w:r>
      <w:r w:rsidRPr="00775665">
        <w:rPr>
          <w:rFonts w:ascii="Times New Roman" w:eastAsia="Times New Roman" w:hAnsi="Times New Roman" w:cs="Times New Roman"/>
          <w:color w:val="000000"/>
          <w:lang w:eastAsia="pt-BR"/>
        </w:rPr>
        <w:t xml:space="preserve">Eur Spine J. </w:t>
      </w:r>
      <w:proofErr w:type="gramStart"/>
      <w:r w:rsidRPr="00775665">
        <w:rPr>
          <w:rFonts w:ascii="Times New Roman" w:eastAsia="Times New Roman" w:hAnsi="Times New Roman" w:cs="Times New Roman"/>
          <w:color w:val="000000"/>
          <w:lang w:eastAsia="pt-BR"/>
        </w:rPr>
        <w:t>1998;7:59</w:t>
      </w:r>
      <w:proofErr w:type="gramEnd"/>
      <w:r w:rsidRPr="00775665">
        <w:rPr>
          <w:rFonts w:ascii="Times New Roman" w:eastAsia="Times New Roman" w:hAnsi="Times New Roman" w:cs="Times New Roman"/>
          <w:color w:val="000000"/>
          <w:lang w:eastAsia="pt-BR"/>
        </w:rPr>
        <w:t>-65.</w:t>
      </w:r>
    </w:p>
    <w:p w14:paraId="0C7A3783"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Matsumoto T, Kitahara H, Minami S, Takahashi K, Yamagata M, Moriya H, Tamaki T. Flexibility in the scoliotic spine: three-dimensional analysis. </w:t>
      </w:r>
      <w:r w:rsidRPr="00775665">
        <w:rPr>
          <w:rFonts w:ascii="Times New Roman" w:eastAsia="Times New Roman" w:hAnsi="Times New Roman" w:cs="Times New Roman"/>
          <w:color w:val="000000"/>
          <w:lang w:eastAsia="pt-BR"/>
        </w:rPr>
        <w:t xml:space="preserve">J Spinal Disord. </w:t>
      </w:r>
      <w:proofErr w:type="gramStart"/>
      <w:r w:rsidRPr="00775665">
        <w:rPr>
          <w:rFonts w:ascii="Times New Roman" w:eastAsia="Times New Roman" w:hAnsi="Times New Roman" w:cs="Times New Roman"/>
          <w:color w:val="000000"/>
          <w:lang w:eastAsia="pt-BR"/>
        </w:rPr>
        <w:t>1997;2:125</w:t>
      </w:r>
      <w:proofErr w:type="gramEnd"/>
      <w:r w:rsidRPr="00775665">
        <w:rPr>
          <w:rFonts w:ascii="Times New Roman" w:eastAsia="Times New Roman" w:hAnsi="Times New Roman" w:cs="Times New Roman"/>
          <w:color w:val="000000"/>
          <w:lang w:eastAsia="pt-BR"/>
        </w:rPr>
        <w:t>-131.</w:t>
      </w:r>
    </w:p>
    <w:p w14:paraId="47B05ADB"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Oda M, Rauh S, Gregory PB, Silverman FN, Bleck EE. The significance of roentgenographic measurement in scoliosis. </w:t>
      </w:r>
      <w:r w:rsidRPr="00775665">
        <w:rPr>
          <w:rFonts w:ascii="Times New Roman" w:eastAsia="Times New Roman" w:hAnsi="Times New Roman" w:cs="Times New Roman"/>
          <w:color w:val="000000"/>
          <w:lang w:eastAsia="pt-BR"/>
        </w:rPr>
        <w:t xml:space="preserve">J Pediatr Orthop. </w:t>
      </w:r>
      <w:proofErr w:type="gramStart"/>
      <w:r w:rsidRPr="00775665">
        <w:rPr>
          <w:rFonts w:ascii="Times New Roman" w:eastAsia="Times New Roman" w:hAnsi="Times New Roman" w:cs="Times New Roman"/>
          <w:color w:val="000000"/>
          <w:lang w:eastAsia="pt-BR"/>
        </w:rPr>
        <w:t>1982;2:378</w:t>
      </w:r>
      <w:proofErr w:type="gramEnd"/>
      <w:r w:rsidRPr="00775665">
        <w:rPr>
          <w:rFonts w:ascii="Times New Roman" w:eastAsia="Times New Roman" w:hAnsi="Times New Roman" w:cs="Times New Roman"/>
          <w:color w:val="000000"/>
          <w:lang w:eastAsia="pt-BR"/>
        </w:rPr>
        <w:t>-382.</w:t>
      </w:r>
    </w:p>
    <w:p w14:paraId="539A5B3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Pinheiro AP, Coelho JC, Veiga ACP, Vrtovec T. A computerized method for evaluating scoliotic deformities using elliptical pattern recognition in X-ray spine images. </w:t>
      </w:r>
      <w:r w:rsidRPr="00775665">
        <w:rPr>
          <w:rFonts w:ascii="Times New Roman" w:eastAsia="Times New Roman" w:hAnsi="Times New Roman" w:cs="Times New Roman"/>
          <w:color w:val="000000"/>
          <w:lang w:eastAsia="pt-BR"/>
        </w:rPr>
        <w:t xml:space="preserve">Comput Methods Programs Biomed. </w:t>
      </w:r>
      <w:proofErr w:type="gramStart"/>
      <w:r w:rsidRPr="00775665">
        <w:rPr>
          <w:rFonts w:ascii="Times New Roman" w:eastAsia="Times New Roman" w:hAnsi="Times New Roman" w:cs="Times New Roman"/>
          <w:color w:val="000000"/>
          <w:lang w:eastAsia="pt-BR"/>
        </w:rPr>
        <w:t>2018;161:85</w:t>
      </w:r>
      <w:proofErr w:type="gramEnd"/>
      <w:r w:rsidRPr="00775665">
        <w:rPr>
          <w:rFonts w:ascii="Times New Roman" w:eastAsia="Times New Roman" w:hAnsi="Times New Roman" w:cs="Times New Roman"/>
          <w:color w:val="000000"/>
          <w:lang w:eastAsia="pt-BR"/>
        </w:rPr>
        <w:t>-92. doi:10.1016/j.cmpb.2018.04.015. PMID: 29852970.</w:t>
      </w:r>
    </w:p>
    <w:p w14:paraId="63AA877A"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Luk KD, Cheung KM, Lu DS, Leong JC. Assessment of scoliosis correction in relation to flexibility using the fulcrum bending correction index. </w:t>
      </w:r>
      <w:r w:rsidRPr="00775665">
        <w:rPr>
          <w:rFonts w:ascii="Times New Roman" w:eastAsia="Times New Roman" w:hAnsi="Times New Roman" w:cs="Times New Roman"/>
          <w:color w:val="000000"/>
          <w:lang w:eastAsia="pt-BR"/>
        </w:rPr>
        <w:t>Spine (Phila Pa 1976). 1998;23(21):2303-7.</w:t>
      </w:r>
    </w:p>
    <w:p w14:paraId="201C3122"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Polly DW Jr, Sturm PF. Traction versus supine side bending. Which technique best determines curve flexibility? </w:t>
      </w:r>
      <w:r w:rsidRPr="00775665">
        <w:rPr>
          <w:rFonts w:ascii="Times New Roman" w:eastAsia="Times New Roman" w:hAnsi="Times New Roman" w:cs="Times New Roman"/>
          <w:color w:val="000000"/>
          <w:lang w:eastAsia="pt-BR"/>
        </w:rPr>
        <w:t>Spine (Phila Pa 1976). 1998;23(7):804-8.</w:t>
      </w:r>
    </w:p>
    <w:p w14:paraId="7495A8B6"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Vedantam R, Lenke LG, Bridwell KH, Linville DL. Comparison of push-prone and lateral-bending radiographs for predicting postoperative coronal alignment in thoracolumbar and lumbar scoliotic curves. </w:t>
      </w:r>
      <w:r w:rsidRPr="00775665">
        <w:rPr>
          <w:rFonts w:ascii="Times New Roman" w:eastAsia="Times New Roman" w:hAnsi="Times New Roman" w:cs="Times New Roman"/>
          <w:color w:val="000000"/>
          <w:lang w:eastAsia="pt-BR"/>
        </w:rPr>
        <w:t>Spine (Phila Pa 1976). 2000;25(1):76-81.</w:t>
      </w:r>
    </w:p>
    <w:p w14:paraId="2C763346"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Lenke LG, Betz RR, Bridwell KH, Clements DH, Harms J, Lowe TG, Shufflebarger HL. Intraobserver and interobserver reliability of the classification of thoracic adolescent idiopathic scoliosis. </w:t>
      </w:r>
      <w:r w:rsidRPr="00775665">
        <w:rPr>
          <w:rFonts w:ascii="Times New Roman" w:eastAsia="Times New Roman" w:hAnsi="Times New Roman" w:cs="Times New Roman"/>
          <w:color w:val="000000"/>
          <w:lang w:eastAsia="pt-BR"/>
        </w:rPr>
        <w:t>J Bone Joint Surg Am. 1998;80(8):1097-106. doi:10.2106/00004623-199808000-00002. PMID: 9730118.</w:t>
      </w:r>
    </w:p>
    <w:p w14:paraId="4D99C04C"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Shen J, Kadoury S, Labelle H, Roy-Beaudry M, Aubin CE, Parent S. Geometric torsion in adolescent idiopathic scoliosis: a new method to differentiate between Lenke 1 subtypes. </w:t>
      </w:r>
      <w:r w:rsidRPr="00775665">
        <w:rPr>
          <w:rFonts w:ascii="Times New Roman" w:eastAsia="Times New Roman" w:hAnsi="Times New Roman" w:cs="Times New Roman"/>
          <w:color w:val="000000"/>
          <w:lang w:eastAsia="pt-BR"/>
        </w:rPr>
        <w:t>Spine (Phila Pa 1976). 2017;42(9):E532-E538.</w:t>
      </w:r>
    </w:p>
    <w:p w14:paraId="1E73027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Nault ML, Mac-Thiong JM, Roy-Beaudry M, Turgeon I, Deguise J, Labelle H, Parent S. Three-dimensional spinal morphology can differentiate between </w:t>
      </w:r>
      <w:r w:rsidRPr="00775665">
        <w:rPr>
          <w:rFonts w:ascii="Times New Roman" w:eastAsia="Times New Roman" w:hAnsi="Times New Roman" w:cs="Times New Roman"/>
          <w:color w:val="000000"/>
          <w:lang w:val="en-US" w:eastAsia="pt-BR"/>
        </w:rPr>
        <w:lastRenderedPageBreak/>
        <w:t xml:space="preserve">progressive and nonprogressive patients with adolescent idiopathic scoliosis at the initial presentation: a prospective study. </w:t>
      </w:r>
      <w:r w:rsidRPr="00775665">
        <w:rPr>
          <w:rFonts w:ascii="Times New Roman" w:eastAsia="Times New Roman" w:hAnsi="Times New Roman" w:cs="Times New Roman"/>
          <w:color w:val="000000"/>
          <w:lang w:eastAsia="pt-BR"/>
        </w:rPr>
        <w:t>Spine (Phila Pa 1976). 2014;39(10):E601-6. doi:10.1097/BRS.0000000000000284. PMID: 24776699; PMCID: PMC4047302.</w:t>
      </w:r>
    </w:p>
    <w:p w14:paraId="3D328DC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Sanders JO, D'Astous J, Fitzgerald M, Khoury JG, Kishan S, Sturm PF. </w:t>
      </w:r>
      <w:r w:rsidRPr="00775665">
        <w:rPr>
          <w:rFonts w:ascii="Times New Roman" w:eastAsia="Times New Roman" w:hAnsi="Times New Roman" w:cs="Times New Roman"/>
          <w:color w:val="000000"/>
          <w:lang w:eastAsia="pt-BR"/>
        </w:rPr>
        <w:t>Derotational casting for progressive infantile scoliosis. J Pediatr Orthop. 2009;29(6):581-7. doi:10.1097/BPO.0b013e3181b2f8df. PMID: 19700987.</w:t>
      </w:r>
    </w:p>
    <w:p w14:paraId="577629D7"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Mehta MH. The rib-vertebra angle in the early diagnosis between resolving and progressive infantile scoliosis. </w:t>
      </w:r>
      <w:r w:rsidRPr="00775665">
        <w:rPr>
          <w:rFonts w:ascii="Times New Roman" w:eastAsia="Times New Roman" w:hAnsi="Times New Roman" w:cs="Times New Roman"/>
          <w:color w:val="000000"/>
          <w:lang w:eastAsia="pt-BR"/>
        </w:rPr>
        <w:t>J Bone Joint Surg Br. 1972;54(2):230-43. PMID: 5034823.</w:t>
      </w:r>
    </w:p>
    <w:p w14:paraId="6B30046E"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775665">
        <w:rPr>
          <w:rFonts w:ascii="Times New Roman" w:eastAsia="Times New Roman" w:hAnsi="Times New Roman" w:cs="Times New Roman"/>
          <w:color w:val="000000"/>
          <w:lang w:val="en-US" w:eastAsia="pt-BR"/>
        </w:rPr>
        <w:t xml:space="preserve">Mahajan R, Kishan S, Mallepally AR, Shafer C, Marathe N, Chhabra HS. Evolution of casting techniques in early-onset and congenital scoliosis. J Clin Orthop Trauma. 2020;11(5):810-815. </w:t>
      </w:r>
      <w:proofErr w:type="gramStart"/>
      <w:r w:rsidRPr="00775665">
        <w:rPr>
          <w:rFonts w:ascii="Times New Roman" w:eastAsia="Times New Roman" w:hAnsi="Times New Roman" w:cs="Times New Roman"/>
          <w:color w:val="000000"/>
          <w:lang w:val="en-US" w:eastAsia="pt-BR"/>
        </w:rPr>
        <w:t>doi:10.1016/j.jcot</w:t>
      </w:r>
      <w:proofErr w:type="gramEnd"/>
      <w:r w:rsidRPr="00775665">
        <w:rPr>
          <w:rFonts w:ascii="Times New Roman" w:eastAsia="Times New Roman" w:hAnsi="Times New Roman" w:cs="Times New Roman"/>
          <w:color w:val="000000"/>
          <w:lang w:val="en-US" w:eastAsia="pt-BR"/>
        </w:rPr>
        <w:t>.2020.06.034. PMID: 32879567; PMCID: PMC7452255.</w:t>
      </w:r>
    </w:p>
    <w:p w14:paraId="2C26DC4F"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Baulesh DM, Huh J, Judkins T, Garg S, Miller NH, Erickson MA. The role of serial casting in early-onset scoliosis (EOS). </w:t>
      </w:r>
      <w:r w:rsidRPr="00775665">
        <w:rPr>
          <w:rFonts w:ascii="Times New Roman" w:eastAsia="Times New Roman" w:hAnsi="Times New Roman" w:cs="Times New Roman"/>
          <w:color w:val="000000"/>
          <w:lang w:eastAsia="pt-BR"/>
        </w:rPr>
        <w:t>J Pediatr Orthop. 2012;32(7):658-63. doi:10.1097/BPO.0b013e318269c438. PMID: 22955527.</w:t>
      </w:r>
    </w:p>
    <w:p w14:paraId="69DE8F5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Dobbs MB, Lenke LG, Szymanski </w:t>
      </w:r>
      <w:proofErr w:type="gramStart"/>
      <w:r w:rsidRPr="00775665">
        <w:rPr>
          <w:rFonts w:ascii="Times New Roman" w:eastAsia="Times New Roman" w:hAnsi="Times New Roman" w:cs="Times New Roman"/>
          <w:color w:val="000000"/>
          <w:lang w:eastAsia="pt-BR"/>
        </w:rPr>
        <w:t>DA, Morcuende</w:t>
      </w:r>
      <w:proofErr w:type="gramEnd"/>
      <w:r w:rsidRPr="00775665">
        <w:rPr>
          <w:rFonts w:ascii="Times New Roman" w:eastAsia="Times New Roman" w:hAnsi="Times New Roman" w:cs="Times New Roman"/>
          <w:color w:val="000000"/>
          <w:lang w:eastAsia="pt-BR"/>
        </w:rPr>
        <w:t xml:space="preserve"> JA, Weinstein SL, Bridwell KH, Sponseller PD. </w:t>
      </w:r>
      <w:r w:rsidRPr="00775665">
        <w:rPr>
          <w:rFonts w:ascii="Times New Roman" w:eastAsia="Times New Roman" w:hAnsi="Times New Roman" w:cs="Times New Roman"/>
          <w:color w:val="000000"/>
          <w:lang w:val="en-US" w:eastAsia="pt-BR"/>
        </w:rPr>
        <w:t xml:space="preserve">Prevalence of neural axis abnormalities in patients with infantile idiopathic scoliosis. </w:t>
      </w:r>
      <w:r w:rsidRPr="00775665">
        <w:rPr>
          <w:rFonts w:ascii="Times New Roman" w:eastAsia="Times New Roman" w:hAnsi="Times New Roman" w:cs="Times New Roman"/>
          <w:color w:val="000000"/>
          <w:lang w:eastAsia="pt-BR"/>
        </w:rPr>
        <w:t>J Bone Joint Surg Am. 2002;84(12):2230-4. doi:10.2106/00004623-200212000-00016. PMID: 12473713.</w:t>
      </w:r>
    </w:p>
    <w:p w14:paraId="1A2E4292"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Mehta MH. Growth as a corrective force in the early treatment of progressive infantile scoliosis. </w:t>
      </w:r>
      <w:r w:rsidRPr="00775665">
        <w:rPr>
          <w:rFonts w:ascii="Times New Roman" w:eastAsia="Times New Roman" w:hAnsi="Times New Roman" w:cs="Times New Roman"/>
          <w:color w:val="000000"/>
          <w:lang w:eastAsia="pt-BR"/>
        </w:rPr>
        <w:t>J Bone Joint Surg Br. 2005;87(9):1237-47. doi:10.1302/0301-620X.87B9.16124. PMID: 16129750.</w:t>
      </w:r>
    </w:p>
    <w:p w14:paraId="7BBC8A77"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Badlani N, Korenblit A, Hammerberg K. Subclavian vein thrombosis after application of body cast. </w:t>
      </w:r>
      <w:r w:rsidRPr="00775665">
        <w:rPr>
          <w:rFonts w:ascii="Times New Roman" w:eastAsia="Times New Roman" w:hAnsi="Times New Roman" w:cs="Times New Roman"/>
          <w:color w:val="000000"/>
          <w:lang w:eastAsia="pt-BR"/>
        </w:rPr>
        <w:t>J Pediatr Orthop. 2013;33(1):e1-3. doi:10.1097/BPO.0b013e31827363e7. PMID: 23232388.</w:t>
      </w:r>
    </w:p>
    <w:p w14:paraId="0B18F69D"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Gussous YM, Tarima S, Zhao S, Khan S, Caudill A, Sturm P, Hammerberg KW. Serial derotational casting in idiopathic and non-idiopathic progressive early-onset scoliosis. </w:t>
      </w:r>
      <w:r w:rsidRPr="00775665">
        <w:rPr>
          <w:rFonts w:ascii="Times New Roman" w:eastAsia="Times New Roman" w:hAnsi="Times New Roman" w:cs="Times New Roman"/>
          <w:color w:val="000000"/>
          <w:lang w:eastAsia="pt-BR"/>
        </w:rPr>
        <w:t>Spine Deform. 2015;3(3):233-238. doi:10.1016/j.jspd.2014.10.001. PMID: 27927464.</w:t>
      </w:r>
    </w:p>
    <w:p w14:paraId="57B9906B"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Bressan-Neto M, Filezio MR, Ferri-de-Barros F, Defino HLA. </w:t>
      </w:r>
      <w:r w:rsidRPr="00775665">
        <w:rPr>
          <w:rFonts w:ascii="Times New Roman" w:eastAsia="Times New Roman" w:hAnsi="Times New Roman" w:cs="Times New Roman"/>
          <w:color w:val="000000"/>
          <w:lang w:val="en-US" w:eastAsia="pt-BR"/>
        </w:rPr>
        <w:t xml:space="preserve">Unmet needs of surgical care for children: a case study in the Brazilian </w:t>
      </w:r>
      <w:proofErr w:type="gramStart"/>
      <w:r w:rsidRPr="00775665">
        <w:rPr>
          <w:rFonts w:ascii="Times New Roman" w:eastAsia="Times New Roman" w:hAnsi="Times New Roman" w:cs="Times New Roman"/>
          <w:color w:val="000000"/>
          <w:lang w:val="en-US" w:eastAsia="pt-BR"/>
        </w:rPr>
        <w:t>publicly-financed</w:t>
      </w:r>
      <w:proofErr w:type="gramEnd"/>
      <w:r w:rsidRPr="00775665">
        <w:rPr>
          <w:rFonts w:ascii="Times New Roman" w:eastAsia="Times New Roman" w:hAnsi="Times New Roman" w:cs="Times New Roman"/>
          <w:color w:val="000000"/>
          <w:lang w:val="en-US" w:eastAsia="pt-BR"/>
        </w:rPr>
        <w:t xml:space="preserve"> health system. </w:t>
      </w:r>
      <w:r w:rsidRPr="00775665">
        <w:rPr>
          <w:rFonts w:ascii="Times New Roman" w:eastAsia="Times New Roman" w:hAnsi="Times New Roman" w:cs="Times New Roman"/>
          <w:color w:val="000000"/>
          <w:lang w:eastAsia="pt-BR"/>
        </w:rPr>
        <w:t>Rev Bras Ortop (Sao Paulo). 2021;56(3):360-367. doi:10.1055/s-0040-1721836. PMID: 34239203; PMCID: PMC8249059.</w:t>
      </w:r>
    </w:p>
    <w:p w14:paraId="04E6393C"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Edwards CC 2nd, Lenke LG, Peelle M, Sides B, Rinella A, Bridwell KH. Selective thoracic fusion for adolescent idiopathic scoliosis with C modifier lumbar curves: 2- to 16-year radiographic and clinical results. </w:t>
      </w:r>
      <w:r w:rsidRPr="00775665">
        <w:rPr>
          <w:rFonts w:ascii="Times New Roman" w:eastAsia="Times New Roman" w:hAnsi="Times New Roman" w:cs="Times New Roman"/>
          <w:color w:val="000000"/>
          <w:lang w:eastAsia="pt-BR"/>
        </w:rPr>
        <w:t>Spine (Phila Pa 1976). 2004;29(5):536-46.</w:t>
      </w:r>
    </w:p>
    <w:p w14:paraId="0F2E568A"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Ruffilli A, Traversari M, Manzetti M, Viroli G, Artioli E, Zielli SO, Mazzotti A, Faldini C. Comparable rates of lumbar disc degeneration at long-term following adolescent idiopathic scoliosis spinal fusion extended to L3 or L4: systematic review and meta-analysis. </w:t>
      </w:r>
      <w:r w:rsidRPr="00775665">
        <w:rPr>
          <w:rFonts w:ascii="Times New Roman" w:eastAsia="Times New Roman" w:hAnsi="Times New Roman" w:cs="Times New Roman"/>
          <w:color w:val="000000"/>
          <w:lang w:eastAsia="pt-BR"/>
        </w:rPr>
        <w:t>Spine Deform. 2024;12(4):877-901. doi:10.1007/s43390-024-00849-4. PMID: 38546965; PMCID: PMC11217089.</w:t>
      </w:r>
    </w:p>
    <w:p w14:paraId="7FBAB842"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Suk SI. Pedicle screw instrumentation for adolescent idiopathic scoliosis: the insertion technique, the fusion levels and direct vertebral rotation. </w:t>
      </w:r>
      <w:r w:rsidRPr="00775665">
        <w:rPr>
          <w:rFonts w:ascii="Times New Roman" w:eastAsia="Times New Roman" w:hAnsi="Times New Roman" w:cs="Times New Roman"/>
          <w:color w:val="000000"/>
          <w:lang w:eastAsia="pt-BR"/>
        </w:rPr>
        <w:t>Clin Orthop Surg. 2011;3(2):89-100. doi:10.4055/cios.2011.3.2.89. PMID: 21629468; PMCID: PMC3095792.</w:t>
      </w:r>
    </w:p>
    <w:p w14:paraId="393BAACC"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Liu CW, Lenke LG, Tan LA, Oh T, Chao KH, Lin SD, Pan RY. Selection of the lowest instrumented vertebra and relative odds ratio of distal adding-on for </w:t>
      </w:r>
      <w:r w:rsidRPr="00775665">
        <w:rPr>
          <w:rFonts w:ascii="Times New Roman" w:eastAsia="Times New Roman" w:hAnsi="Times New Roman" w:cs="Times New Roman"/>
          <w:color w:val="000000"/>
          <w:lang w:val="en-US" w:eastAsia="pt-BR"/>
        </w:rPr>
        <w:lastRenderedPageBreak/>
        <w:t xml:space="preserve">Lenke type 1A and 2A curves in adolescent idiopathic scoliosis: a systematic review and meta-analysis. </w:t>
      </w:r>
      <w:r w:rsidRPr="00775665">
        <w:rPr>
          <w:rFonts w:ascii="Times New Roman" w:eastAsia="Times New Roman" w:hAnsi="Times New Roman" w:cs="Times New Roman"/>
          <w:color w:val="000000"/>
          <w:lang w:eastAsia="pt-BR"/>
        </w:rPr>
        <w:t>Neurospine. 2020;17(4):902-909. doi:10.14245/ns.2040234.117. PMID: 33401869; PMCID: PMC7788412.</w:t>
      </w:r>
    </w:p>
    <w:p w14:paraId="41142076"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Rizkallah M, Sebaaly A, Kharrat K, Kreichati G. Selecting the lowest instrumented vertebra in adolescent idiopathic scoliosis: comparison of the Lenke, Suk, and Dubousset criteria. </w:t>
      </w:r>
      <w:r w:rsidRPr="00775665">
        <w:rPr>
          <w:rFonts w:ascii="Times New Roman" w:eastAsia="Times New Roman" w:hAnsi="Times New Roman" w:cs="Times New Roman"/>
          <w:color w:val="000000"/>
          <w:lang w:eastAsia="pt-BR"/>
        </w:rPr>
        <w:t>Orthop Traumatol Surg Res. 2018;104(5):631-635. doi:10.1016/j.otsr.2017.12.007. PMID: 29292125.</w:t>
      </w:r>
    </w:p>
    <w:p w14:paraId="3C2E2C3A"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Yang J, Andras LM, Broom AM, et al. Preventing distal junctional kyphosis by applying the stable sagittal vertebra concept to selective thoracic fusion in adolescent idiopathic scoliosis. </w:t>
      </w:r>
      <w:r w:rsidRPr="00775665">
        <w:rPr>
          <w:rFonts w:ascii="Times New Roman" w:eastAsia="Times New Roman" w:hAnsi="Times New Roman" w:cs="Times New Roman"/>
          <w:color w:val="000000"/>
          <w:lang w:eastAsia="pt-BR"/>
        </w:rPr>
        <w:t>Spine Deform. 2018;6(1):38-42.</w:t>
      </w:r>
    </w:p>
    <w:p w14:paraId="5263935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Roberts SB, Tsirikos AI, Subramanian AS. Posterior spinal fusion for adolescent idiopathic thoracolumbar/lumbar scoliosis: clinical outcomes and predictive radiological factors for extension of fusion distal to caudal end vertebra. </w:t>
      </w:r>
      <w:r w:rsidRPr="00775665">
        <w:rPr>
          <w:rFonts w:ascii="Times New Roman" w:eastAsia="Times New Roman" w:hAnsi="Times New Roman" w:cs="Times New Roman"/>
          <w:color w:val="000000"/>
          <w:lang w:eastAsia="pt-BR"/>
        </w:rPr>
        <w:t>Bone Joint J. 2014;96-</w:t>
      </w:r>
      <w:proofErr w:type="gramStart"/>
      <w:r w:rsidRPr="00775665">
        <w:rPr>
          <w:rFonts w:ascii="Times New Roman" w:eastAsia="Times New Roman" w:hAnsi="Times New Roman" w:cs="Times New Roman"/>
          <w:color w:val="000000"/>
          <w:lang w:eastAsia="pt-BR"/>
        </w:rPr>
        <w:t>B(</w:t>
      </w:r>
      <w:proofErr w:type="gramEnd"/>
      <w:r w:rsidRPr="00775665">
        <w:rPr>
          <w:rFonts w:ascii="Times New Roman" w:eastAsia="Times New Roman" w:hAnsi="Times New Roman" w:cs="Times New Roman"/>
          <w:color w:val="000000"/>
          <w:lang w:eastAsia="pt-BR"/>
        </w:rPr>
        <w:t>8):1082-1089.</w:t>
      </w:r>
    </w:p>
    <w:p w14:paraId="511894D9"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Baghdadi S, Baldwin K. Selection of fusion levels in adolescent idiopathic scoliosis. </w:t>
      </w:r>
      <w:r w:rsidRPr="00775665">
        <w:rPr>
          <w:rFonts w:ascii="Times New Roman" w:eastAsia="Times New Roman" w:hAnsi="Times New Roman" w:cs="Times New Roman"/>
          <w:color w:val="000000"/>
          <w:lang w:eastAsia="pt-BR"/>
        </w:rPr>
        <w:t>Curr Rev Musculoskelet Med. 2024;17(1):23-36. doi:10.1007/s12178-023-09876-6. PMID: 38095837; PMCID: PMC10767118.</w:t>
      </w:r>
    </w:p>
    <w:p w14:paraId="371328AB"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Avanzim O, Landim E, Meves R, Cafaro MFS, Umeta RSG, Kruppa JTP. Avaliação radiográfica da descompensação do tronco após artrodese seletiva torácica em portadores de escoliose idiopática do adolescente King II (Lenke B e C). Coluna/Columna. 2009;8(4):376-80.</w:t>
      </w:r>
    </w:p>
    <w:p w14:paraId="750BE7CF"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Wilk B, Karol LA, Johnston CE 2nd, Colby S, Haideri N. The effect of scoliosis fusion on spinal motion: a comparison of fused and nonfused patients with idiopathic scoliosis. </w:t>
      </w:r>
      <w:r w:rsidRPr="00775665">
        <w:rPr>
          <w:rFonts w:ascii="Times New Roman" w:eastAsia="Times New Roman" w:hAnsi="Times New Roman" w:cs="Times New Roman"/>
          <w:color w:val="000000"/>
          <w:lang w:eastAsia="pt-BR"/>
        </w:rPr>
        <w:t>Spine (Phila Pa 1976). 2006;31(3):309-14.</w:t>
      </w:r>
    </w:p>
    <w:p w14:paraId="64C8D92C"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Lee SM, Suk SI, Chung ER. Direct vertebral rotation: a new technique of three-dimensional deformity correction with segmental pedicle screw fixation in adolescent idiopathic scoliosis. </w:t>
      </w:r>
      <w:r w:rsidRPr="00775665">
        <w:rPr>
          <w:rFonts w:ascii="Times New Roman" w:eastAsia="Times New Roman" w:hAnsi="Times New Roman" w:cs="Times New Roman"/>
          <w:color w:val="000000"/>
          <w:lang w:eastAsia="pt-BR"/>
        </w:rPr>
        <w:t>Spine (Phila Pa 1976). 2004;29(3):343-9.</w:t>
      </w:r>
    </w:p>
    <w:p w14:paraId="08405942"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 xml:space="preserve">Suk SI, Lee CK, Kim WJ, Chung YJ, Park YB. </w:t>
      </w:r>
      <w:r w:rsidRPr="00775665">
        <w:rPr>
          <w:rFonts w:ascii="Times New Roman" w:eastAsia="Times New Roman" w:hAnsi="Times New Roman" w:cs="Times New Roman"/>
          <w:color w:val="000000"/>
          <w:lang w:val="en-US" w:eastAsia="pt-BR"/>
        </w:rPr>
        <w:t xml:space="preserve">Segmental pedicle screw fixation in the treatment of thoracic idiopathic scoliosis. </w:t>
      </w:r>
      <w:r w:rsidRPr="00775665">
        <w:rPr>
          <w:rFonts w:ascii="Times New Roman" w:eastAsia="Times New Roman" w:hAnsi="Times New Roman" w:cs="Times New Roman"/>
          <w:color w:val="000000"/>
          <w:lang w:eastAsia="pt-BR"/>
        </w:rPr>
        <w:t>Spine (Phila Pa 1976). 1995;20(12):1399-405.</w:t>
      </w:r>
    </w:p>
    <w:p w14:paraId="27ACFE83"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eastAsia="pt-BR"/>
        </w:rPr>
        <w:t>Defino H. Editorial: o sinal de Landim. Coluna/Columna. 2007;6(4):xxv.</w:t>
      </w:r>
    </w:p>
    <w:p w14:paraId="32ACB0A5"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Crawford CH 3rd, Lenke LG. Growth modulation by means of anterior tethering resulting in progressive correction of juvenile idiopathic scoliosis: a case report. </w:t>
      </w:r>
      <w:r w:rsidRPr="00775665">
        <w:rPr>
          <w:rFonts w:ascii="Times New Roman" w:eastAsia="Times New Roman" w:hAnsi="Times New Roman" w:cs="Times New Roman"/>
          <w:color w:val="000000"/>
          <w:lang w:eastAsia="pt-BR"/>
        </w:rPr>
        <w:t>J Bone Joint Surg Am. 2010;92(1):202-209.</w:t>
      </w:r>
    </w:p>
    <w:p w14:paraId="2601879B"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Samdani AF, Ames RJ, Kimball JS, et al. Anterior vertebral body tethering for idiopathic scoliosis: two-year results. </w:t>
      </w:r>
      <w:r w:rsidRPr="00775665">
        <w:rPr>
          <w:rFonts w:ascii="Times New Roman" w:eastAsia="Times New Roman" w:hAnsi="Times New Roman" w:cs="Times New Roman"/>
          <w:color w:val="000000"/>
          <w:lang w:eastAsia="pt-BR"/>
        </w:rPr>
        <w:t>Spine. 2014;39(20):1688-1693.</w:t>
      </w:r>
    </w:p>
    <w:p w14:paraId="23BBFABC" w14:textId="77777777" w:rsidR="00775665" w:rsidRPr="00775665" w:rsidRDefault="00775665" w:rsidP="00775665">
      <w:pPr>
        <w:numPr>
          <w:ilvl w:val="0"/>
          <w:numId w:val="2"/>
        </w:num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color w:val="000000"/>
          <w:lang w:val="en-US" w:eastAsia="pt-BR"/>
        </w:rPr>
        <w:t xml:space="preserve">Mineiro J. Posterior vertebral pedicular tethering for the treatment of idiopathic adolescent scoliosis. </w:t>
      </w:r>
      <w:r w:rsidRPr="00775665">
        <w:rPr>
          <w:rFonts w:ascii="Times New Roman" w:eastAsia="Times New Roman" w:hAnsi="Times New Roman" w:cs="Times New Roman"/>
          <w:color w:val="000000"/>
          <w:lang w:eastAsia="pt-BR"/>
        </w:rPr>
        <w:t>Healthcare (Basel). 2023;11(13):1878. doi:10.3390/healthcare11131878. PMID: 37444712; PMCID: PMC10340677.</w:t>
      </w:r>
    </w:p>
    <w:p w14:paraId="2522AEBB" w14:textId="77777777" w:rsidR="00775665" w:rsidRPr="00775665" w:rsidRDefault="003805E4" w:rsidP="00775665">
      <w:pPr>
        <w:rPr>
          <w:rFonts w:ascii="Times New Roman" w:eastAsia="Times New Roman" w:hAnsi="Times New Roman" w:cs="Times New Roman"/>
          <w:lang w:eastAsia="pt-BR"/>
        </w:rPr>
      </w:pPr>
      <w:r w:rsidRPr="00775665">
        <w:rPr>
          <w:rFonts w:ascii="Times New Roman" w:eastAsia="Times New Roman" w:hAnsi="Times New Roman" w:cs="Times New Roman"/>
          <w:noProof/>
          <w:lang w:eastAsia="pt-BR"/>
        </w:rPr>
        <w:pict w14:anchorId="709943A6">
          <v:rect id="_x0000_i1025" alt="" style="width:424.75pt;height:.05pt;mso-width-percent:0;mso-height-percent:0;mso-width-percent:0;mso-height-percent:0" o:hrpct="999" o:hralign="center" o:hrstd="t" o:hr="t" fillcolor="#a0a0a0" stroked="f"/>
        </w:pict>
      </w:r>
    </w:p>
    <w:p w14:paraId="3E960E5B" w14:textId="77777777" w:rsidR="00775665" w:rsidRPr="00775665" w:rsidRDefault="00775665" w:rsidP="00775665">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775665">
        <w:rPr>
          <w:rFonts w:ascii="Times New Roman" w:eastAsia="Times New Roman" w:hAnsi="Times New Roman" w:cs="Times New Roman"/>
          <w:b/>
          <w:bCs/>
          <w:color w:val="000000"/>
          <w:kern w:val="36"/>
          <w:sz w:val="48"/>
          <w:szCs w:val="48"/>
          <w:lang w:eastAsia="pt-BR"/>
        </w:rPr>
        <w:t>Metadados para publicação</w:t>
      </w:r>
    </w:p>
    <w:p w14:paraId="1DB18B68"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b/>
          <w:bCs/>
          <w:color w:val="000000"/>
          <w:lang w:eastAsia="pt-BR"/>
        </w:rPr>
        <w:t>Título SEO:</w:t>
      </w:r>
      <w:r w:rsidRPr="00775665">
        <w:rPr>
          <w:rFonts w:ascii="Times New Roman" w:eastAsia="Times New Roman" w:hAnsi="Times New Roman" w:cs="Times New Roman"/>
          <w:color w:val="000000"/>
          <w:lang w:eastAsia="pt-BR"/>
        </w:rPr>
        <w:t> Escoliose idiopática: avaliação e tratamento | Tratado</w:t>
      </w:r>
    </w:p>
    <w:p w14:paraId="3F3DE029"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b/>
          <w:bCs/>
          <w:color w:val="000000"/>
          <w:lang w:eastAsia="pt-BR"/>
        </w:rPr>
        <w:t>Meta descrição:</w:t>
      </w:r>
      <w:r w:rsidRPr="00775665">
        <w:rPr>
          <w:rFonts w:ascii="Times New Roman" w:eastAsia="Times New Roman" w:hAnsi="Times New Roman" w:cs="Times New Roman"/>
          <w:color w:val="000000"/>
          <w:lang w:eastAsia="pt-BR"/>
        </w:rPr>
        <w:t> Entenda diagnóstico, progressão, classificação de Lenke, tratamento conservador, artrodese seletiva e modulação do crescimento na escoliose idiopática.</w:t>
      </w:r>
    </w:p>
    <w:p w14:paraId="43CD5465"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b/>
          <w:bCs/>
          <w:color w:val="000000"/>
          <w:lang w:eastAsia="pt-BR"/>
        </w:rPr>
        <w:lastRenderedPageBreak/>
        <w:t>Resumo de chamada:</w:t>
      </w:r>
      <w:r w:rsidRPr="00775665">
        <w:rPr>
          <w:rFonts w:ascii="Times New Roman" w:eastAsia="Times New Roman" w:hAnsi="Times New Roman" w:cs="Times New Roman"/>
          <w:color w:val="000000"/>
          <w:lang w:eastAsia="pt-BR"/>
        </w:rPr>
        <w:t> Abordagem da escoliose idiopática integrando diagnóstico de exclusão, história natural, maturidade, avaliação radiográfica, classificação de Lenke e princípios do tratamento conservador e cirúrgico.</w:t>
      </w:r>
    </w:p>
    <w:p w14:paraId="372B75D1" w14:textId="77777777" w:rsidR="00775665" w:rsidRPr="00775665" w:rsidRDefault="00775665" w:rsidP="00775665">
      <w:pPr>
        <w:spacing w:before="100" w:beforeAutospacing="1" w:after="100" w:afterAutospacing="1"/>
        <w:rPr>
          <w:rFonts w:ascii="Times New Roman" w:eastAsia="Times New Roman" w:hAnsi="Times New Roman" w:cs="Times New Roman"/>
          <w:color w:val="000000"/>
          <w:lang w:eastAsia="pt-BR"/>
        </w:rPr>
      </w:pPr>
      <w:r w:rsidRPr="00775665">
        <w:rPr>
          <w:rFonts w:ascii="Times New Roman" w:eastAsia="Times New Roman" w:hAnsi="Times New Roman" w:cs="Times New Roman"/>
          <w:b/>
          <w:bCs/>
          <w:color w:val="000000"/>
          <w:lang w:eastAsia="pt-BR"/>
        </w:rPr>
        <w:t>Sugestão de slug:</w:t>
      </w:r>
      <w:r w:rsidRPr="00775665">
        <w:rPr>
          <w:rFonts w:ascii="Times New Roman" w:eastAsia="Times New Roman" w:hAnsi="Times New Roman" w:cs="Times New Roman"/>
          <w:color w:val="000000"/>
          <w:lang w:eastAsia="pt-BR"/>
        </w:rPr>
        <w:t> </w:t>
      </w:r>
      <w:r w:rsidRPr="00775665">
        <w:rPr>
          <w:rFonts w:ascii="Courier New" w:eastAsia="Times New Roman" w:hAnsi="Courier New" w:cs="Courier New"/>
          <w:color w:val="000000"/>
          <w:sz w:val="20"/>
          <w:szCs w:val="20"/>
          <w:lang w:eastAsia="pt-BR"/>
        </w:rPr>
        <w:t>escoliose-idiopatica</w:t>
      </w:r>
    </w:p>
    <w:p w14:paraId="1FC16982"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27BF6"/>
    <w:multiLevelType w:val="multilevel"/>
    <w:tmpl w:val="A9F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36C7F"/>
    <w:multiLevelType w:val="multilevel"/>
    <w:tmpl w:val="21D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168C7"/>
    <w:multiLevelType w:val="multilevel"/>
    <w:tmpl w:val="EA54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884483">
    <w:abstractNumId w:val="0"/>
  </w:num>
  <w:num w:numId="2" w16cid:durableId="1592200374">
    <w:abstractNumId w:val="2"/>
  </w:num>
  <w:num w:numId="3" w16cid:durableId="1448430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665"/>
    <w:rsid w:val="000D7E60"/>
    <w:rsid w:val="002D732D"/>
    <w:rsid w:val="003805E4"/>
    <w:rsid w:val="0045079E"/>
    <w:rsid w:val="00461115"/>
    <w:rsid w:val="005E2B43"/>
    <w:rsid w:val="00602A1B"/>
    <w:rsid w:val="006B0FCD"/>
    <w:rsid w:val="006B691F"/>
    <w:rsid w:val="00743DED"/>
    <w:rsid w:val="00775665"/>
    <w:rsid w:val="007D0808"/>
    <w:rsid w:val="00821A1A"/>
    <w:rsid w:val="008A7C98"/>
    <w:rsid w:val="008B5D87"/>
    <w:rsid w:val="00A50355"/>
    <w:rsid w:val="00A96B78"/>
    <w:rsid w:val="00B702F2"/>
    <w:rsid w:val="00C20A44"/>
    <w:rsid w:val="00C62276"/>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DB5B"/>
  <w15:chartTrackingRefBased/>
  <w15:docId w15:val="{1D52711A-BAF0-1440-86C1-60C5420C0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75665"/>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775665"/>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775665"/>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75665"/>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775665"/>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775665"/>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775665"/>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775665"/>
    <w:rPr>
      <w:b/>
      <w:bCs/>
    </w:rPr>
  </w:style>
  <w:style w:type="character" w:customStyle="1" w:styleId="apple-converted-space">
    <w:name w:val="apple-converted-space"/>
    <w:basedOn w:val="Fontepargpadro"/>
    <w:rsid w:val="00775665"/>
  </w:style>
  <w:style w:type="character" w:styleId="nfase">
    <w:name w:val="Emphasis"/>
    <w:basedOn w:val="Fontepargpadro"/>
    <w:uiPriority w:val="20"/>
    <w:qFormat/>
    <w:rsid w:val="00775665"/>
    <w:rPr>
      <w:i/>
      <w:iCs/>
    </w:rPr>
  </w:style>
  <w:style w:type="character" w:styleId="Hyperlink">
    <w:name w:val="Hyperlink"/>
    <w:basedOn w:val="Fontepargpadro"/>
    <w:uiPriority w:val="99"/>
    <w:semiHidden/>
    <w:unhideWhenUsed/>
    <w:rsid w:val="00775665"/>
    <w:rPr>
      <w:color w:val="0000FF"/>
      <w:u w:val="single"/>
    </w:rPr>
  </w:style>
  <w:style w:type="character" w:styleId="CdigoHTML">
    <w:name w:val="HTML Code"/>
    <w:basedOn w:val="Fontepargpadro"/>
    <w:uiPriority w:val="99"/>
    <w:semiHidden/>
    <w:unhideWhenUsed/>
    <w:rsid w:val="007756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084851">
      <w:bodyDiv w:val="1"/>
      <w:marLeft w:val="0"/>
      <w:marRight w:val="0"/>
      <w:marTop w:val="0"/>
      <w:marBottom w:val="0"/>
      <w:divBdr>
        <w:top w:val="none" w:sz="0" w:space="0" w:color="auto"/>
        <w:left w:val="none" w:sz="0" w:space="0" w:color="auto"/>
        <w:bottom w:val="none" w:sz="0" w:space="0" w:color="auto"/>
        <w:right w:val="none" w:sz="0" w:space="0" w:color="auto"/>
      </w:divBdr>
      <w:divsChild>
        <w:div w:id="31996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4211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3513</Words>
  <Characters>18976</Characters>
  <Application>Microsoft Office Word</Application>
  <DocSecurity>0</DocSecurity>
  <Lines>158</Lines>
  <Paragraphs>44</Paragraphs>
  <ScaleCrop>false</ScaleCrop>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2026-08-21T02:23:00Z</dcterms:created>
  <dcterms:modified xsi:type="dcterms:W3CDTF">2026-08-21T02:24:00Z</dcterms:modified>
</cp:coreProperties>
</file>