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3DA57" w14:textId="77777777" w:rsidR="00403AC9" w:rsidRPr="00403AC9" w:rsidRDefault="00403AC9" w:rsidP="00403A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Capítulo 35 — Escoliose do Adulto</w:t>
      </w:r>
    </w:p>
    <w:p w14:paraId="4F2C2AE0" w14:textId="77777777" w:rsidR="00403AC9" w:rsidRPr="00403AC9" w:rsidRDefault="00403AC9" w:rsidP="00403A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Identificação</w:t>
      </w:r>
    </w:p>
    <w:p w14:paraId="6C75A32C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Número do capítulo: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 35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br/>
      </w:r>
      <w:r w:rsidRPr="00403AC9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Título completo: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 Escoliose do Adulto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br/>
      </w:r>
      <w:r w:rsidRPr="00403AC9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Seção do Tratado: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 não informada no arquivo fornecido.</w:t>
      </w:r>
    </w:p>
    <w:p w14:paraId="7801B9FB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Autores</w:t>
      </w:r>
    </w:p>
    <w:p w14:paraId="7548BAB5" w14:textId="77777777" w:rsidR="00403AC9" w:rsidRPr="00403AC9" w:rsidRDefault="00403AC9" w:rsidP="00403A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Alexandre Fogaça Cristante</w:t>
      </w:r>
    </w:p>
    <w:p w14:paraId="022F9A95" w14:textId="77777777" w:rsidR="00403AC9" w:rsidRPr="00403AC9" w:rsidRDefault="00403AC9" w:rsidP="00403A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Vinicius Antônio Santos Aragão</w:t>
      </w:r>
    </w:p>
    <w:p w14:paraId="7749FE19" w14:textId="77777777" w:rsidR="00403AC9" w:rsidRPr="00403AC9" w:rsidRDefault="00403AC9" w:rsidP="00403A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Daniel Duarte Perini</w:t>
      </w:r>
    </w:p>
    <w:p w14:paraId="3656DF17" w14:textId="77777777" w:rsidR="00403AC9" w:rsidRPr="00403AC9" w:rsidRDefault="00403AC9" w:rsidP="00403AC9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Nota editorial para o site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br/>
        <w:t>Esta página apresenta os conceitos fundamentais do capítulo. Valores quantitativos dos parâmetros espinopélvicos, critérios completos da classificação SRS-Schwab, metas específicas de correção, detalhes das osteotomias e configurações de instrumentação permanecem reservados ao conteúdo integral do </w:t>
      </w:r>
      <w:r w:rsidRPr="00403AC9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Tratado de Cirurgia da Coluna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3DB95809" w14:textId="77777777" w:rsidR="00403AC9" w:rsidRPr="00403AC9" w:rsidRDefault="00D619BD" w:rsidP="00403AC9">
      <w:pPr>
        <w:rPr>
          <w:rFonts w:ascii="Times New Roman" w:eastAsia="Times New Roman" w:hAnsi="Times New Roman" w:cs="Times New Roman"/>
          <w:lang w:eastAsia="pt-BR"/>
        </w:rPr>
      </w:pPr>
      <w:r w:rsidRPr="00403AC9">
        <w:rPr>
          <w:rFonts w:ascii="Times New Roman" w:eastAsia="Times New Roman" w:hAnsi="Times New Roman" w:cs="Times New Roman"/>
          <w:noProof/>
          <w:lang w:eastAsia="pt-BR"/>
        </w:rPr>
        <w:pict w14:anchorId="4CFBBD5D">
          <v:rect id="_x0000_i1036" alt="" style="width:424.75pt;height:.05pt;mso-width-percent:0;mso-height-percent:0;mso-width-percent:0;mso-height-percent:0" o:hrpct="999" o:hralign="center" o:hrstd="t" o:hr="t" fillcolor="#a0a0a0" stroked="f"/>
        </w:pict>
      </w:r>
    </w:p>
    <w:p w14:paraId="0A733394" w14:textId="77777777" w:rsidR="00403AC9" w:rsidRPr="00403AC9" w:rsidRDefault="00403AC9" w:rsidP="00403A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Contexto</w:t>
      </w:r>
    </w:p>
    <w:p w14:paraId="008E743C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A escoliose do adulto (EA) reúne deformidades coronais da coluna no esqueleto maduro e pode resultar de degeneração progressiva de uma coluna previamente alinhada, da evolução de uma escoliose idiopática iniciada na juventude ou de causas secundárias. Com o envelhecimento populacional, sua relevância clínica aumenta, principalmente porque a deformidade pode associar-se a dor crônica, radiculopatia, claudicação neurogênica, perda do equilíbrio do tronco e importante limitação funcional. Na forma degenerativa, o processo geralmente se inicia pela deterioração assimétrica dos discos e das articulações facetárias, favorecendo rotação vertebral, laterolistese e estenose. Nas formas idiopáticas residuais, a degeneração do adulto modifica deformidades preexistentes e pode reduzir a lordose lombar. Mais do que a magnitude da curva coronal, o capítulo enfatiza a importância do equilíbrio sagital e da relação entre coluna e pelve para compreender sintomas, incapacidade e planejamento terapêutico.</w:t>
      </w:r>
    </w:p>
    <w:p w14:paraId="740DCF80" w14:textId="77777777" w:rsidR="00403AC9" w:rsidRPr="00403AC9" w:rsidRDefault="00D619BD" w:rsidP="00403AC9">
      <w:pPr>
        <w:rPr>
          <w:rFonts w:ascii="Times New Roman" w:eastAsia="Times New Roman" w:hAnsi="Times New Roman" w:cs="Times New Roman"/>
          <w:lang w:eastAsia="pt-BR"/>
        </w:rPr>
      </w:pPr>
      <w:r w:rsidRPr="00403AC9">
        <w:rPr>
          <w:rFonts w:ascii="Times New Roman" w:eastAsia="Times New Roman" w:hAnsi="Times New Roman" w:cs="Times New Roman"/>
          <w:noProof/>
          <w:lang w:eastAsia="pt-BR"/>
        </w:rPr>
        <w:pict w14:anchorId="709C8102">
          <v:rect id="_x0000_i1035" alt="" style="width:424.75pt;height:.05pt;mso-width-percent:0;mso-height-percent:0;mso-width-percent:0;mso-height-percent:0" o:hrpct="999" o:hralign="center" o:hrstd="t" o:hr="t" fillcolor="#a0a0a0" stroked="f"/>
        </w:pict>
      </w:r>
    </w:p>
    <w:p w14:paraId="50DE5A0F" w14:textId="77777777" w:rsidR="00403AC9" w:rsidRPr="00403AC9" w:rsidRDefault="00403AC9" w:rsidP="00403A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Objetivo do capítulo</w:t>
      </w:r>
    </w:p>
    <w:p w14:paraId="7D31E0DD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Apresentar os fundamentos para reconhecer, classificar e tratar a escoliose do adulto. O leitor deverá compreender as diferenças entre deformidade degenerativa, idiopática residual e secundária, correlacionar sintomas com alterações coronais, sagitais e neurológicas, realizar avaliação clínica e radiográfica global, utilizar as classificações de Aebi e SRS-Schwab e compreender os princípios que orientam tratamento conservador, indicação cirúrgica, realinhamento, descompressão e prevenção de complicações.</w:t>
      </w:r>
    </w:p>
    <w:p w14:paraId="7D8C824E" w14:textId="77777777" w:rsidR="00403AC9" w:rsidRPr="00403AC9" w:rsidRDefault="00D619BD" w:rsidP="00403AC9">
      <w:pPr>
        <w:rPr>
          <w:rFonts w:ascii="Times New Roman" w:eastAsia="Times New Roman" w:hAnsi="Times New Roman" w:cs="Times New Roman"/>
          <w:lang w:eastAsia="pt-BR"/>
        </w:rPr>
      </w:pPr>
      <w:r w:rsidRPr="00403AC9">
        <w:rPr>
          <w:rFonts w:ascii="Times New Roman" w:eastAsia="Times New Roman" w:hAnsi="Times New Roman" w:cs="Times New Roman"/>
          <w:noProof/>
          <w:lang w:eastAsia="pt-BR"/>
        </w:rPr>
        <w:lastRenderedPageBreak/>
        <w:pict w14:anchorId="3F0E1CF7">
          <v:rect id="_x0000_i1034" alt="" style="width:424.75pt;height:.05pt;mso-width-percent:0;mso-height-percent:0;mso-width-percent:0;mso-height-percent:0" o:hrpct="999" o:hralign="center" o:hrstd="t" o:hr="t" fillcolor="#a0a0a0" stroked="f"/>
        </w:pict>
      </w:r>
    </w:p>
    <w:p w14:paraId="126FECA4" w14:textId="77777777" w:rsidR="00403AC9" w:rsidRPr="00403AC9" w:rsidRDefault="00403AC9" w:rsidP="00403A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Conteúdo principal</w:t>
      </w:r>
    </w:p>
    <w:p w14:paraId="6AD5FE42" w14:textId="77777777" w:rsidR="00403AC9" w:rsidRPr="00403AC9" w:rsidRDefault="00403AC9" w:rsidP="00403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Duas trajetórias principais de deformidade</w:t>
      </w:r>
    </w:p>
    <w:p w14:paraId="2E880A09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A </w:t>
      </w:r>
      <w:r w:rsidRPr="00403AC9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escoliose degenerativa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 desenvolve-se em pacientes sem história prévia de escoliose significativa. A degeneração discal altera progressivamente altura e estabilidade segmentar, transferindo carga de maneira assimétrica às facetas e favorecendo rotação, translação vertebral e estenose foraminal.</w:t>
      </w:r>
    </w:p>
    <w:p w14:paraId="33F5D004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A </w:t>
      </w:r>
      <w:r w:rsidRPr="00403AC9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escoliose idiopática do adulto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, conforme a nomenclatura empregada no capítulo, representa a progressão de curvas iniciadas anteriormente. Nesses pacientes, a degeneração acrescenta alterações à deformidade já existente, particularmente na região lombar e no perfil sagital.</w:t>
      </w:r>
    </w:p>
    <w:p w14:paraId="7839EDA3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A classificação etiológica de </w:t>
      </w:r>
      <w:r w:rsidRPr="00403AC9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Aebi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 organiza essas diferentes origens em formas degenerativas primárias, idiopáticas de progressão tardia e secundárias.</w:t>
      </w:r>
    </w:p>
    <w:p w14:paraId="615E6B4B" w14:textId="77777777" w:rsidR="00403AC9" w:rsidRPr="00403AC9" w:rsidRDefault="00403AC9" w:rsidP="00403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Equilíbrio sagital e repercussão clínica</w:t>
      </w:r>
    </w:p>
    <w:p w14:paraId="7E46F76E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Dor axial é a manifestação mais frequente, podendo relacionar-se à sobrecarga facetária e muscular. Radiculopatia e claudicação neurogênica decorrem principalmente da degeneração associada e da redução dos espaços disponíveis às estruturas neurais.</w:t>
      </w:r>
    </w:p>
    <w:p w14:paraId="038F3957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O capítulo ressalta que a perda do equilíbrio sagital tende a ser menos bem tolerada que o desalinhamento coronal. O deslocamento anterior do tronco exige mecanismos compensatórios e aumenta a demanda energética para permanecer em ortostase e caminhar.</w:t>
      </w:r>
    </w:p>
    <w:p w14:paraId="2897742E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A </w:t>
      </w:r>
      <w:r w:rsidRPr="00403AC9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 35.1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 demonstra a avaliação clínica da deformidade e das compensações posturais.</w:t>
      </w:r>
    </w:p>
    <w:p w14:paraId="5550DDAE" w14:textId="77777777" w:rsidR="00403AC9" w:rsidRPr="00403AC9" w:rsidRDefault="00403AC9" w:rsidP="00403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Avaliação radiográfica global</w:t>
      </w:r>
    </w:p>
    <w:p w14:paraId="1A55354E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Radiografias panorâmicas em ortostase são fundamentais e devem permitir análise da coluna e da pelve como uma unidade funcional. Além da deformidade coronal, são avaliadas as curvaturas regionais e o alinhamento sagital.</w:t>
      </w:r>
    </w:p>
    <w:p w14:paraId="51EAA3B0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A </w:t>
      </w:r>
      <w:r w:rsidRPr="00403AC9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 35.3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 sintetiza os principais parâmetros espinopélvicos e sua interdependência. Incidência pélvica, versão pélvica, inclinação sacral, lordose lombar e posição global do tronco permitem compreender tanto a deformidade quanto os mecanismos de compensação.</w:t>
      </w:r>
    </w:p>
    <w:p w14:paraId="3196732D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A classificação </w:t>
      </w:r>
      <w:r w:rsidRPr="00403AC9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SRS-Schwab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, apresentada na </w:t>
      </w:r>
      <w:r w:rsidRPr="00403AC9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 35.4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, combina padrão coronal e modificadores sagitais e é destacada pelo capítulo por sua relação com incapacidade e planejamento terapêutico.</w:t>
      </w:r>
    </w:p>
    <w:p w14:paraId="73CD4FD3" w14:textId="77777777" w:rsidR="00403AC9" w:rsidRPr="00403AC9" w:rsidRDefault="00403AC9" w:rsidP="00403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Tratamento conservador</w:t>
      </w:r>
    </w:p>
    <w:p w14:paraId="267C409F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A abordagem inicial pode incluir fisioterapia, fortalecimento, exercícios de baixo impacto, controle farmacológico da dor e intervenções analgésicas selecionadas. O benefício de órteses permanece menos definido nessa população.</w:t>
      </w:r>
    </w:p>
    <w:p w14:paraId="07C7EE0E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O objetivo do tratamento conservador é principalmente controlar sintomas e preservar função, reconhecendo que a evidência de longo prazo é limitada.</w:t>
      </w:r>
    </w:p>
    <w:p w14:paraId="1C043DD8" w14:textId="77777777" w:rsidR="00403AC9" w:rsidRPr="00403AC9" w:rsidRDefault="00403AC9" w:rsidP="00403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Tratamento cirúrgico</w:t>
      </w:r>
    </w:p>
    <w:p w14:paraId="69C54821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A indicação cirúrgica é individualizada e ganha relevância diante de dor incapacitante refratária, déficit neurológico, claudicação progressiva ou importante descompensação do alinhamento.</w:t>
      </w:r>
    </w:p>
    <w:p w14:paraId="506D10D3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Diferentemente da cirurgia da escoliose no adolescente, o objetivo no adulto é predominantemente </w:t>
      </w:r>
      <w:r w:rsidRPr="00403AC9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funcional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: descomprimir estruturas neurais quando necessário, reduzir a dor e restaurar um alinhamento espinopélvico compatível com o paciente.</w:t>
      </w:r>
    </w:p>
    <w:p w14:paraId="032B4BA4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A extensão da reconstrução varia desde procedimentos limitados até artrodeses extensas associadas a osteotomias. As </w:t>
      </w:r>
      <w:r w:rsidRPr="00403AC9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Figuras 35.5 e 35.6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 apresentam classificações anatômicas de procedimentos de realinhamento, sem que uma técnica isolada seja aplicável a todas as deformidades.</w:t>
      </w:r>
    </w:p>
    <w:p w14:paraId="2F019604" w14:textId="77777777" w:rsidR="00403AC9" w:rsidRPr="00403AC9" w:rsidRDefault="00D619BD" w:rsidP="00403AC9">
      <w:pPr>
        <w:rPr>
          <w:rFonts w:ascii="Times New Roman" w:eastAsia="Times New Roman" w:hAnsi="Times New Roman" w:cs="Times New Roman"/>
          <w:lang w:eastAsia="pt-BR"/>
        </w:rPr>
      </w:pPr>
      <w:r w:rsidRPr="00403AC9">
        <w:rPr>
          <w:rFonts w:ascii="Times New Roman" w:eastAsia="Times New Roman" w:hAnsi="Times New Roman" w:cs="Times New Roman"/>
          <w:noProof/>
          <w:lang w:eastAsia="pt-BR"/>
        </w:rPr>
        <w:pict w14:anchorId="1B7A17A9">
          <v:rect id="_x0000_i1033" alt="" style="width:424.75pt;height:.05pt;mso-width-percent:0;mso-height-percent:0;mso-width-percent:0;mso-height-percent:0" o:hrpct="999" o:hralign="center" o:hrstd="t" o:hr="t" fillcolor="#a0a0a0" stroked="f"/>
        </w:pict>
      </w:r>
    </w:p>
    <w:p w14:paraId="6AE4DD36" w14:textId="77777777" w:rsidR="00403AC9" w:rsidRPr="00403AC9" w:rsidRDefault="00403AC9" w:rsidP="00403A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Aplicação clínica</w:t>
      </w:r>
    </w:p>
    <w:p w14:paraId="69075594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Na prática, a avaliação deve começar pela queixa que realmente limita o paciente. Dor axial, radiculopatia, claudicação, fadiga para permanecer em pé ou caminhar e perda funcional precisam ser correlacionadas com o padrão da deformidade e com eventuais mecanismos compensatórios. Em pacientes mais jovens, percepção da imagem corporal também pode ter importância distinta daquela observada em idosos.</w:t>
      </w:r>
    </w:p>
    <w:p w14:paraId="596AFD6F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O exame clínico deve ser realizado em ortostase e incluir postura global, pelve, membros inferiores, marcha e exame neurológico. As radiografias panorâmicas precisam mostrar não apenas a curva escoliótica, mas o conjunto coluna-pelve. A classificação SRS-Schwab organiza essa leitura e auxilia a comunicar a gravidade da deformidade.</w:t>
      </w:r>
    </w:p>
    <w:p w14:paraId="78897006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O tratamento conservador constitui a abordagem inicial para muitos pacientes sintomáticos. A indicação de cirurgia depende da falha dessas medidas, da repercussão neurológica e funcional e da possibilidade de alcançar um benefício compatível com os riscos.</w:t>
      </w:r>
    </w:p>
    <w:p w14:paraId="4B9B9B2D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Quando a reconstrução é considerada, idade, comorbidades, qualidade óssea, nutrição, tabagismo, rigidez da deformidade e cirurgias prévias influenciam diretamente o planejamento. Osteopenia ou osteoporose merecem atenção especial pela relação com ancoragem e complicações mecânicas.</w:t>
      </w:r>
    </w:p>
    <w:p w14:paraId="2B9CF713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A correção também deve ser proporcional ao indivíduo. O capítulo enfatiza que metas de alinhamento não devem ser aplicadas sem considerar idade e contexto clínico, evitando tanto desalinhamento residual quanto uma reconstrução excessivamente agressiva.</w:t>
      </w:r>
    </w:p>
    <w:p w14:paraId="3FBF52B1" w14:textId="77777777" w:rsidR="00403AC9" w:rsidRPr="00403AC9" w:rsidRDefault="00D619BD" w:rsidP="00403AC9">
      <w:pPr>
        <w:rPr>
          <w:rFonts w:ascii="Times New Roman" w:eastAsia="Times New Roman" w:hAnsi="Times New Roman" w:cs="Times New Roman"/>
          <w:lang w:eastAsia="pt-BR"/>
        </w:rPr>
      </w:pPr>
      <w:r w:rsidRPr="00403AC9">
        <w:rPr>
          <w:rFonts w:ascii="Times New Roman" w:eastAsia="Times New Roman" w:hAnsi="Times New Roman" w:cs="Times New Roman"/>
          <w:noProof/>
          <w:lang w:eastAsia="pt-BR"/>
        </w:rPr>
        <w:pict w14:anchorId="35EA5F66">
          <v:rect id="_x0000_i1032" alt="" style="width:424.75pt;height:.05pt;mso-width-percent:0;mso-height-percent:0;mso-width-percent:0;mso-height-percent:0" o:hrpct="999" o:hralign="center" o:hrstd="t" o:hr="t" fillcolor="#a0a0a0" stroked="f"/>
        </w:pict>
      </w:r>
    </w:p>
    <w:p w14:paraId="29D43262" w14:textId="77777777" w:rsidR="00403AC9" w:rsidRPr="00403AC9" w:rsidRDefault="00403AC9" w:rsidP="00403A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Mensagem central</w:t>
      </w:r>
    </w:p>
    <w:p w14:paraId="4C9DAA86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A escoliose do adulto é mais do que uma curva coronal em uma coluna envelhecida. Dor, compressão neural, degeneração, perda de lordose e desequilíbrio espinopélvico interagem para determinar incapacidade. O tratamento deve partir dos sintomas e da função, utilizar o alinhamento global para compreender a deformidade e equilibrar o benefício potencial da reconstrução com a morbidade de procedimentos frequentemente complexos. A correção radiográfica é um meio para melhorar função, e não um objetivo isolado.</w:t>
      </w:r>
    </w:p>
    <w:p w14:paraId="57A3B71C" w14:textId="77777777" w:rsidR="00403AC9" w:rsidRPr="00403AC9" w:rsidRDefault="00D619BD" w:rsidP="00403AC9">
      <w:pPr>
        <w:rPr>
          <w:rFonts w:ascii="Times New Roman" w:eastAsia="Times New Roman" w:hAnsi="Times New Roman" w:cs="Times New Roman"/>
          <w:lang w:eastAsia="pt-BR"/>
        </w:rPr>
      </w:pPr>
      <w:r w:rsidRPr="00403AC9">
        <w:rPr>
          <w:rFonts w:ascii="Times New Roman" w:eastAsia="Times New Roman" w:hAnsi="Times New Roman" w:cs="Times New Roman"/>
          <w:noProof/>
          <w:lang w:eastAsia="pt-BR"/>
        </w:rPr>
        <w:pict w14:anchorId="7B5A9DF3">
          <v:rect id="_x0000_i1031" alt="" style="width:424.75pt;height:.05pt;mso-width-percent:0;mso-height-percent:0;mso-width-percent:0;mso-height-percent:0" o:hrpct="999" o:hralign="center" o:hrstd="t" o:hr="t" fillcolor="#a0a0a0" stroked="f"/>
        </w:pict>
      </w:r>
    </w:p>
    <w:p w14:paraId="3EB4A49C" w14:textId="77777777" w:rsidR="00403AC9" w:rsidRPr="00403AC9" w:rsidRDefault="00403AC9" w:rsidP="00403AC9">
      <w:pPr>
        <w:spacing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Por que este capítulo importa</w:t>
      </w:r>
    </w:p>
    <w:p w14:paraId="331BBCAE" w14:textId="77777777" w:rsidR="00403AC9" w:rsidRPr="00403AC9" w:rsidRDefault="00403AC9" w:rsidP="00403AC9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Na escoliose do adulto, duas radiografias com curvas coronais semelhantes podem representar pacientes completamente diferentes. Um pode permanecer compensado e funcional; outro pode apresentar perda de lordose, tronco projetado anteriormente, radiculopatia e incapacidade progressiva. O capítulo mostra por que a avaliação precisa ultrapassar o ângulo de Cobb e incorporar pelve, perfil sagital, neurologia e mecanismos compensatórios. Essa visão também é essencial para evitar dois extremos: uma cirurgia extensa em quem pode ser tratado conservadoramente ou uma intervenção insuficiente que descomprime uma raiz sem reconhecer o desequilíbrio global responsável pelos sintomas.</w:t>
      </w:r>
    </w:p>
    <w:p w14:paraId="4A22280A" w14:textId="77777777" w:rsidR="00403AC9" w:rsidRPr="00403AC9" w:rsidRDefault="00D619BD" w:rsidP="00403AC9">
      <w:pPr>
        <w:rPr>
          <w:rFonts w:ascii="Times New Roman" w:eastAsia="Times New Roman" w:hAnsi="Times New Roman" w:cs="Times New Roman"/>
          <w:lang w:eastAsia="pt-BR"/>
        </w:rPr>
      </w:pPr>
      <w:r w:rsidRPr="00403AC9">
        <w:rPr>
          <w:rFonts w:ascii="Times New Roman" w:eastAsia="Times New Roman" w:hAnsi="Times New Roman" w:cs="Times New Roman"/>
          <w:noProof/>
          <w:lang w:eastAsia="pt-BR"/>
        </w:rPr>
        <w:pict w14:anchorId="5E6A6192">
          <v:rect id="_x0000_i1030" alt="" style="width:424.75pt;height:.05pt;mso-width-percent:0;mso-height-percent:0;mso-width-percent:0;mso-height-percent:0" o:hrpct="999" o:hralign="center" o:hrstd="t" o:hr="t" fillcolor="#a0a0a0" stroked="f"/>
        </w:pict>
      </w:r>
    </w:p>
    <w:p w14:paraId="1B66F6C1" w14:textId="77777777" w:rsidR="00403AC9" w:rsidRPr="00403AC9" w:rsidRDefault="00403AC9" w:rsidP="00403A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Palavras-chave e descritores</w:t>
      </w:r>
    </w:p>
    <w:p w14:paraId="58150BE6" w14:textId="77777777" w:rsidR="00403AC9" w:rsidRPr="00403AC9" w:rsidRDefault="00403AC9" w:rsidP="00403A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Descritores controlados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1802"/>
      </w:tblGrid>
      <w:tr w:rsidR="00403AC9" w:rsidRPr="00403AC9" w14:paraId="0218FE48" w14:textId="77777777" w:rsidTr="00403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662D4" w14:textId="77777777" w:rsidR="00403AC9" w:rsidRPr="00403AC9" w:rsidRDefault="00403AC9" w:rsidP="00403A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r w:rsidRPr="00403AC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DeCS — português</w:t>
            </w:r>
          </w:p>
        </w:tc>
        <w:tc>
          <w:tcPr>
            <w:tcW w:w="0" w:type="auto"/>
            <w:vAlign w:val="center"/>
            <w:hideMark/>
          </w:tcPr>
          <w:p w14:paraId="6ABA248C" w14:textId="77777777" w:rsidR="00403AC9" w:rsidRPr="00403AC9" w:rsidRDefault="00403AC9" w:rsidP="00403A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r w:rsidRPr="00403AC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MeSH — inglês</w:t>
            </w:r>
          </w:p>
        </w:tc>
      </w:tr>
      <w:tr w:rsidR="00403AC9" w:rsidRPr="00403AC9" w14:paraId="3BD8F07F" w14:textId="77777777" w:rsidTr="00403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FC775" w14:textId="77777777" w:rsidR="00403AC9" w:rsidRPr="00403AC9" w:rsidRDefault="00403AC9" w:rsidP="00403AC9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03AC9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Escoliose</w:t>
            </w:r>
          </w:p>
        </w:tc>
        <w:tc>
          <w:tcPr>
            <w:tcW w:w="0" w:type="auto"/>
            <w:vAlign w:val="center"/>
            <w:hideMark/>
          </w:tcPr>
          <w:p w14:paraId="0AF388EF" w14:textId="77777777" w:rsidR="00403AC9" w:rsidRPr="00403AC9" w:rsidRDefault="00403AC9" w:rsidP="00403AC9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03AC9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Scoliosis</w:t>
            </w:r>
          </w:p>
        </w:tc>
      </w:tr>
      <w:tr w:rsidR="00403AC9" w:rsidRPr="00403AC9" w14:paraId="122E8C76" w14:textId="77777777" w:rsidTr="00403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F1068" w14:textId="77777777" w:rsidR="00403AC9" w:rsidRPr="00403AC9" w:rsidRDefault="00403AC9" w:rsidP="00403AC9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03AC9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Curvaturas da Coluna Vertebral</w:t>
            </w:r>
          </w:p>
        </w:tc>
        <w:tc>
          <w:tcPr>
            <w:tcW w:w="0" w:type="auto"/>
            <w:vAlign w:val="center"/>
            <w:hideMark/>
          </w:tcPr>
          <w:p w14:paraId="67751835" w14:textId="77777777" w:rsidR="00403AC9" w:rsidRPr="00403AC9" w:rsidRDefault="00403AC9" w:rsidP="00403AC9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03AC9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 Curvatures</w:t>
            </w:r>
          </w:p>
        </w:tc>
      </w:tr>
      <w:tr w:rsidR="00403AC9" w:rsidRPr="00403AC9" w14:paraId="508BB46A" w14:textId="77777777" w:rsidTr="00403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513A" w14:textId="77777777" w:rsidR="00403AC9" w:rsidRPr="00403AC9" w:rsidRDefault="00403AC9" w:rsidP="00403AC9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03AC9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Adulto</w:t>
            </w:r>
          </w:p>
        </w:tc>
        <w:tc>
          <w:tcPr>
            <w:tcW w:w="0" w:type="auto"/>
            <w:vAlign w:val="center"/>
            <w:hideMark/>
          </w:tcPr>
          <w:p w14:paraId="126BE70E" w14:textId="77777777" w:rsidR="00403AC9" w:rsidRPr="00403AC9" w:rsidRDefault="00403AC9" w:rsidP="00403AC9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03AC9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Adult</w:t>
            </w:r>
          </w:p>
        </w:tc>
      </w:tr>
      <w:tr w:rsidR="00403AC9" w:rsidRPr="00403AC9" w14:paraId="117B28E6" w14:textId="77777777" w:rsidTr="00403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266B" w14:textId="77777777" w:rsidR="00403AC9" w:rsidRPr="00403AC9" w:rsidRDefault="00403AC9" w:rsidP="00403AC9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03AC9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Dor Lombar</w:t>
            </w:r>
          </w:p>
        </w:tc>
        <w:tc>
          <w:tcPr>
            <w:tcW w:w="0" w:type="auto"/>
            <w:vAlign w:val="center"/>
            <w:hideMark/>
          </w:tcPr>
          <w:p w14:paraId="66EF9D87" w14:textId="77777777" w:rsidR="00403AC9" w:rsidRPr="00403AC9" w:rsidRDefault="00403AC9" w:rsidP="00403AC9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03AC9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Low Back Pain</w:t>
            </w:r>
          </w:p>
        </w:tc>
      </w:tr>
      <w:tr w:rsidR="00403AC9" w:rsidRPr="00403AC9" w14:paraId="7B056ED1" w14:textId="77777777" w:rsidTr="00403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C5C3" w14:textId="77777777" w:rsidR="00403AC9" w:rsidRPr="00403AC9" w:rsidRDefault="00403AC9" w:rsidP="00403AC9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03AC9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Estenose Espinal</w:t>
            </w:r>
          </w:p>
        </w:tc>
        <w:tc>
          <w:tcPr>
            <w:tcW w:w="0" w:type="auto"/>
            <w:vAlign w:val="center"/>
            <w:hideMark/>
          </w:tcPr>
          <w:p w14:paraId="7C9BAB3E" w14:textId="77777777" w:rsidR="00403AC9" w:rsidRPr="00403AC9" w:rsidRDefault="00403AC9" w:rsidP="00403AC9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03AC9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 Stenosis</w:t>
            </w:r>
          </w:p>
        </w:tc>
      </w:tr>
      <w:tr w:rsidR="00403AC9" w:rsidRPr="00403AC9" w14:paraId="22BE33C9" w14:textId="77777777" w:rsidTr="00403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94D87" w14:textId="77777777" w:rsidR="00403AC9" w:rsidRPr="00403AC9" w:rsidRDefault="00403AC9" w:rsidP="00403AC9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03AC9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Fusão Vertebral</w:t>
            </w:r>
          </w:p>
        </w:tc>
        <w:tc>
          <w:tcPr>
            <w:tcW w:w="0" w:type="auto"/>
            <w:vAlign w:val="center"/>
            <w:hideMark/>
          </w:tcPr>
          <w:p w14:paraId="3A9FE26D" w14:textId="77777777" w:rsidR="00403AC9" w:rsidRPr="00403AC9" w:rsidRDefault="00403AC9" w:rsidP="00403AC9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03AC9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 Fusion</w:t>
            </w:r>
          </w:p>
        </w:tc>
      </w:tr>
      <w:tr w:rsidR="00403AC9" w:rsidRPr="00403AC9" w14:paraId="3B6DA030" w14:textId="77777777" w:rsidTr="00403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64BB" w14:textId="77777777" w:rsidR="00403AC9" w:rsidRPr="00403AC9" w:rsidRDefault="00403AC9" w:rsidP="00403AC9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03AC9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Osteotomia</w:t>
            </w:r>
          </w:p>
        </w:tc>
        <w:tc>
          <w:tcPr>
            <w:tcW w:w="0" w:type="auto"/>
            <w:vAlign w:val="center"/>
            <w:hideMark/>
          </w:tcPr>
          <w:p w14:paraId="16865B6A" w14:textId="77777777" w:rsidR="00403AC9" w:rsidRPr="00403AC9" w:rsidRDefault="00403AC9" w:rsidP="00403AC9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03AC9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Osteotomy</w:t>
            </w:r>
          </w:p>
        </w:tc>
      </w:tr>
      <w:tr w:rsidR="00403AC9" w:rsidRPr="00403AC9" w14:paraId="20D6479F" w14:textId="77777777" w:rsidTr="00403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7317E" w14:textId="77777777" w:rsidR="00403AC9" w:rsidRPr="00403AC9" w:rsidRDefault="00403AC9" w:rsidP="00403AC9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03AC9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Osteoporose</w:t>
            </w:r>
          </w:p>
        </w:tc>
        <w:tc>
          <w:tcPr>
            <w:tcW w:w="0" w:type="auto"/>
            <w:vAlign w:val="center"/>
            <w:hideMark/>
          </w:tcPr>
          <w:p w14:paraId="6422A9BB" w14:textId="77777777" w:rsidR="00403AC9" w:rsidRPr="00403AC9" w:rsidRDefault="00403AC9" w:rsidP="00403AC9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03AC9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Osteoporosis</w:t>
            </w:r>
          </w:p>
        </w:tc>
      </w:tr>
    </w:tbl>
    <w:p w14:paraId="549D2B2C" w14:textId="77777777" w:rsidR="00403AC9" w:rsidRPr="00403AC9" w:rsidRDefault="00403AC9" w:rsidP="00403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lastRenderedPageBreak/>
        <w:t>Palavras-chave livres adicionais</w:t>
      </w:r>
    </w:p>
    <w:p w14:paraId="2C8E165F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Escoliose do adulto; escoliose degenerativa; escoliose idiopática do adulto; deformidade espinal do adulto; equilíbrio sagital; parâmetros espinopélvicos; SRS-Schwab; discrepância incidência pélvica–lordose lombar; eixo vertical sagital; versão pélvica; flatback.</w:t>
      </w:r>
    </w:p>
    <w:p w14:paraId="61FCF6C1" w14:textId="77777777" w:rsidR="00403AC9" w:rsidRPr="00403AC9" w:rsidRDefault="00D619BD" w:rsidP="00403AC9">
      <w:pPr>
        <w:rPr>
          <w:rFonts w:ascii="Times New Roman" w:eastAsia="Times New Roman" w:hAnsi="Times New Roman" w:cs="Times New Roman"/>
          <w:lang w:eastAsia="pt-BR"/>
        </w:rPr>
      </w:pPr>
      <w:r w:rsidRPr="00403AC9">
        <w:rPr>
          <w:rFonts w:ascii="Times New Roman" w:eastAsia="Times New Roman" w:hAnsi="Times New Roman" w:cs="Times New Roman"/>
          <w:noProof/>
          <w:lang w:eastAsia="pt-BR"/>
        </w:rPr>
        <w:pict w14:anchorId="322E0644">
          <v:rect id="_x0000_i1029" alt="" style="width:424.75pt;height:.05pt;mso-width-percent:0;mso-height-percent:0;mso-width-percent:0;mso-height-percent:0" o:hrpct="999" o:hralign="center" o:hrstd="t" o:hr="t" fillcolor="#a0a0a0" stroked="f"/>
        </w:pict>
      </w:r>
    </w:p>
    <w:p w14:paraId="40932573" w14:textId="77777777" w:rsidR="00403AC9" w:rsidRPr="00403AC9" w:rsidRDefault="00403AC9" w:rsidP="00403A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Três cards de destaque</w:t>
      </w:r>
    </w:p>
    <w:p w14:paraId="681096B9" w14:textId="77777777" w:rsidR="00403AC9" w:rsidRPr="00403AC9" w:rsidRDefault="00403AC9" w:rsidP="00403A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1 — Conceito essencial</w:t>
      </w:r>
    </w:p>
    <w:p w14:paraId="5F733143" w14:textId="77777777" w:rsidR="00403AC9" w:rsidRPr="00403AC9" w:rsidRDefault="00403AC9" w:rsidP="00403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Sagital pesa mais que coronal</w:t>
      </w:r>
    </w:p>
    <w:p w14:paraId="6135D36B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No adulto, a repercussão clínica não acompanha necessariamente o tamanho da curva escoliótica. A perda do alinhamento sagital e o esforço necessário para compensá-la podem estar mais relacionados à dor, fadiga e incapacidade. Por isso, a avaliação deve integrar coluna e pelve, e não se limitar à radiografia frontal.</w:t>
      </w:r>
    </w:p>
    <w:p w14:paraId="68FCA847" w14:textId="77777777" w:rsidR="00403AC9" w:rsidRPr="00403AC9" w:rsidRDefault="00D619BD" w:rsidP="00403AC9">
      <w:pPr>
        <w:rPr>
          <w:rFonts w:ascii="Times New Roman" w:eastAsia="Times New Roman" w:hAnsi="Times New Roman" w:cs="Times New Roman"/>
          <w:lang w:eastAsia="pt-BR"/>
        </w:rPr>
      </w:pPr>
      <w:r w:rsidRPr="00403AC9">
        <w:rPr>
          <w:rFonts w:ascii="Times New Roman" w:eastAsia="Times New Roman" w:hAnsi="Times New Roman" w:cs="Times New Roman"/>
          <w:noProof/>
          <w:lang w:eastAsia="pt-BR"/>
        </w:rPr>
        <w:pict w14:anchorId="2AB32B95">
          <v:rect id="_x0000_i1028" alt="" style="width:424.75pt;height:.05pt;mso-width-percent:0;mso-height-percent:0;mso-width-percent:0;mso-height-percent:0" o:hrpct="999" o:hralign="center" o:hrstd="t" o:hr="t" fillcolor="#a0a0a0" stroked="f"/>
        </w:pict>
      </w:r>
    </w:p>
    <w:p w14:paraId="3FD0A806" w14:textId="77777777" w:rsidR="00403AC9" w:rsidRPr="00403AC9" w:rsidRDefault="00403AC9" w:rsidP="00403A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2 — Decisão clínica</w:t>
      </w:r>
    </w:p>
    <w:p w14:paraId="42CACE2A" w14:textId="77777777" w:rsidR="00403AC9" w:rsidRPr="00403AC9" w:rsidRDefault="00403AC9" w:rsidP="00403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Trate sintomas e função</w:t>
      </w:r>
    </w:p>
    <w:p w14:paraId="7953EEE1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A indicação cirúrgica não nasce de uma medida isolada. Dor refratária, compressão neural, claudicação, perda funcional, progressão e desequilíbrio precisam ser ponderados com idade, comorbidades e risco operatório. A radiografia ajuda a explicar o problema; a repercussão clínica define sua importância para aquele paciente.</w:t>
      </w:r>
    </w:p>
    <w:p w14:paraId="240034D6" w14:textId="77777777" w:rsidR="00403AC9" w:rsidRPr="00403AC9" w:rsidRDefault="00D619BD" w:rsidP="00403AC9">
      <w:pPr>
        <w:rPr>
          <w:rFonts w:ascii="Times New Roman" w:eastAsia="Times New Roman" w:hAnsi="Times New Roman" w:cs="Times New Roman"/>
          <w:lang w:eastAsia="pt-BR"/>
        </w:rPr>
      </w:pPr>
      <w:r w:rsidRPr="00403AC9">
        <w:rPr>
          <w:rFonts w:ascii="Times New Roman" w:eastAsia="Times New Roman" w:hAnsi="Times New Roman" w:cs="Times New Roman"/>
          <w:noProof/>
          <w:lang w:eastAsia="pt-BR"/>
        </w:rPr>
        <w:pict w14:anchorId="369BB48B">
          <v:rect id="_x0000_i1027" alt="" style="width:424.75pt;height:.05pt;mso-width-percent:0;mso-height-percent:0;mso-width-percent:0;mso-height-percent:0" o:hrpct="999" o:hralign="center" o:hrstd="t" o:hr="t" fillcolor="#a0a0a0" stroked="f"/>
        </w:pict>
      </w:r>
    </w:p>
    <w:p w14:paraId="36F7BC67" w14:textId="77777777" w:rsidR="00403AC9" w:rsidRPr="00403AC9" w:rsidRDefault="00403AC9" w:rsidP="00403A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3 — Pérola ou alerta</w:t>
      </w:r>
    </w:p>
    <w:p w14:paraId="590379E8" w14:textId="77777777" w:rsidR="00403AC9" w:rsidRPr="00403AC9" w:rsidRDefault="00403AC9" w:rsidP="00403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Osso faz parte do planejamento</w:t>
      </w:r>
    </w:p>
    <w:p w14:paraId="7568A5D9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Osteopenia e osteoporose não são achados periféricos em uma reconstrução extensa. A qualidade óssea interfere na capacidade de fixação e no risco de complicações mecânicas. Avaliar e otimizar os fatores modificáveis antes da cirurgia faz parte da estratégia de prevenção de falhas, assim como nutrição adequada e cessação do tabagismo.</w:t>
      </w:r>
    </w:p>
    <w:p w14:paraId="4AAF7D9A" w14:textId="77777777" w:rsidR="00403AC9" w:rsidRPr="00403AC9" w:rsidRDefault="00D619BD" w:rsidP="00403AC9">
      <w:pPr>
        <w:rPr>
          <w:rFonts w:ascii="Times New Roman" w:eastAsia="Times New Roman" w:hAnsi="Times New Roman" w:cs="Times New Roman"/>
          <w:lang w:eastAsia="pt-BR"/>
        </w:rPr>
      </w:pPr>
      <w:r w:rsidRPr="00403AC9">
        <w:rPr>
          <w:rFonts w:ascii="Times New Roman" w:eastAsia="Times New Roman" w:hAnsi="Times New Roman" w:cs="Times New Roman"/>
          <w:noProof/>
          <w:lang w:eastAsia="pt-BR"/>
        </w:rPr>
        <w:pict w14:anchorId="0E6A01EE">
          <v:rect id="_x0000_i1026" alt="" style="width:424.75pt;height:.05pt;mso-width-percent:0;mso-height-percent:0;mso-width-percent:0;mso-height-percent:0" o:hrpct="999" o:hralign="center" o:hrstd="t" o:hr="t" fillcolor="#a0a0a0" stroked="f"/>
        </w:pict>
      </w:r>
    </w:p>
    <w:p w14:paraId="49725BE1" w14:textId="77777777" w:rsidR="00403AC9" w:rsidRPr="00403AC9" w:rsidRDefault="00403AC9" w:rsidP="00403A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Referências bibliográficas</w:t>
      </w:r>
    </w:p>
    <w:p w14:paraId="62583641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lastRenderedPageBreak/>
        <w:t>Aebi M. The adult scoliosis. Eur Spine J. 2005;14(10):925-48.</w:t>
      </w:r>
    </w:p>
    <w:p w14:paraId="6D264350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Nasri F. O envelhecimento populacional no Brasil Einstein. 2008;6(Supl 1):S4-S6.</w:t>
      </w:r>
    </w:p>
    <w:p w14:paraId="6FF13CE2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Bess S, Line B, Fu KM, McCarthy I, Lafage V, Schwab F, et al. The health impact of symptomatic adult spinal deformity: comparison of deformity types to United States population norms and chronic diseases.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Spine (Phila Pa 1976). 2016;41(3):224-33.</w:t>
      </w:r>
    </w:p>
    <w:p w14:paraId="14B9AECD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Diebo BG, Shah NV, Boachie-Adjei O, Zhu F, Rothenfluh DA, Paulino CB, et al. Adult spinal deformity. Lancet. 2019;394(10193):160-72.</w:t>
      </w:r>
    </w:p>
    <w:p w14:paraId="3273BC53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Youssef JA, Orndorff DO, Patty CA, Scott MA, Price HL, Hamlin LF, et al.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Current status of adult spinal deformity. Global Spine J. 2013;3(1):51-62.</w:t>
      </w:r>
    </w:p>
    <w:p w14:paraId="1D0C8B6E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Kadow T, Sowa G, Vo N, Kang JD. Molecular basis of intervertebral disc degeneration and herniations: what are the important translational questions?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Clin Orthop Relat Res. 2015;473(6):1903-12.</w:t>
      </w:r>
    </w:p>
    <w:p w14:paraId="054DB52F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York PJ, Kim HJ. Degenerative scoliosis.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Curr Rev Musculoskelet Med. 2017;10(4):547-58.</w:t>
      </w:r>
    </w:p>
    <w:p w14:paraId="112C84B9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Liyew WA. Clinical presentations of lumbar disc degeneration and lumbosacral nerve lesions.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Int J Rheumatol. 2020;2020:2919625.</w:t>
      </w:r>
    </w:p>
    <w:p w14:paraId="73EC6CF8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Marty-Poumarat C, Scattin L, Marpeau M, Garreau de Loubresse C, Aegerter P. Natural history of progressive adult scoliosis.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Spine (Phila Pa 1976). 2007;32(11):1227-35.</w:t>
      </w:r>
    </w:p>
    <w:p w14:paraId="501D5609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Cunha MK, Silva LT, Hostt LPO, Alves WG, Gomes IS. Mecanismos neurológicos envolvidos na escoliose idiopática revisão sistemática da literatura. Arch Health [Internet]. 2024;5(3):e1720.</w:t>
      </w:r>
    </w:p>
    <w:p w14:paraId="107A7F7F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>Benoist M. Natural history of the aging spine. Eur Spine J. 2003;12 Suppl 2(Suppl 2):S86-S89.</w:t>
      </w:r>
    </w:p>
    <w:p w14:paraId="4679F803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Schwab F, Patel A, Ungar B, Farcy JP, Lafage V. Adult spinal deformity-postoperative standing imbalance: how much can you tolerate? An overview of key parameters in assessing alignment and planning corrective surgery.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Spine (Phila Pa 1976). 2010;35(25):2224-31.</w:t>
      </w:r>
    </w:p>
    <w:p w14:paraId="502C72DD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Shapiro GS, Taira G, Boachie-Adjei O. Results of surgical treatment of adult idiopathic scoliosis with low back pain and spinal stenosis: a study of long-term clinical radiographic outcomes.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Spine (Phila Pa 1976). 2003;28(4):358-63.</w:t>
      </w:r>
    </w:p>
    <w:p w14:paraId="543F7814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Glassman SD, Bridwell K, Dimar JR, Horton W, Berven S, Schwab F. The impact of positive sagittal balance in adult spinal deformity.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Spine (Phila Pa 1976). 2005;30(18):2024-9.</w:t>
      </w:r>
    </w:p>
    <w:p w14:paraId="21EE7168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Cho KJ, Kim YT, Shin SH, Suk SI. Surgical treatment of adult degenerative scoliosis.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Asian Spine J. 2014;8(3):371-81.</w:t>
      </w:r>
    </w:p>
    <w:p w14:paraId="538169F6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Pritchett JW, Bortel DT. Degenerative symptomatic lumbar scoliosis.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Spine (Phila Pa 1976). 1993;18(6):700-3.</w:t>
      </w:r>
    </w:p>
    <w:p w14:paraId="26CAF1A3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Bess S, Boachie-Adjei O, Burton D, et al. Pain and disability determine treatment modality for older patients with adult scoliosis, while deformity guides treatment for younger patients.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Spine (Phila Pa 1976). 2009;34(20):2186-90. doi:10.1097/BRS.0b013e3181b05146.</w:t>
      </w:r>
    </w:p>
    <w:p w14:paraId="52A4C9F0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Smith JS, Shaffrey CI, Fu KM, Cunningham M, Shaffrey C, Shelokov A, et al. Clinical and radiographic evaluation of the adult spinal deformity patient.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Neurosurg Clin N Am. 2013;24(2):143-56.</w:t>
      </w:r>
    </w:p>
    <w:p w14:paraId="16E3E038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Schwab FJ, Blondel B, Bess S, Hostin R, Shaffrey CI, Smith JS, et al. Radiographical spinopelvic parameters and disability in the setting of adult </w:t>
      </w: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lastRenderedPageBreak/>
        <w:t xml:space="preserve">spinal deformity: a prospective multicenter analysis.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Spine (Phila Pa 1976). 2013;38(13):E803-12.</w:t>
      </w:r>
    </w:p>
    <w:p w14:paraId="3F1D8AA0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Schwab F, Lafage V, Patel A, Farcy JP. Sagittal plane considerations and the pelvis in the adult patient.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Spine (Phila Pa 1976). 2009;34(17):1828-33.</w:t>
      </w:r>
    </w:p>
    <w:p w14:paraId="6B5C047F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Somoskeöy S, Tunyogi-Csapó M, Bogyó C, Illés T. Accuracy and reliability of coronal and sagittal spinal curvature data based on patient-specific three-dimensional models created by the EOS 2D/3D imaging system.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Spine J. 2012;12(11):1052-9.</w:t>
      </w:r>
    </w:p>
    <w:p w14:paraId="44257D50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 xml:space="preserve">Schwab F, Ungar B, Blondel B, Buchowski J, Coe J, Deinlein D, et al. </w:t>
      </w: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Scoliosis Research Society-Schwab adult spinal deformity classification: a validation study.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Spine (Phila Pa 1976). 2012;37(12):1077-82.</w:t>
      </w:r>
    </w:p>
    <w:p w14:paraId="6D454598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 xml:space="preserve">Lin JD, Osorio JA, Baum GR, Menger RP, Reid PC, Dyrszka MD, et al. </w:t>
      </w: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A new modular radiographic classification of adult idiopathic scoliosis as an extension of the Lenke classification of adolescent idiopathic scoliosis [published online ahead of print, 2020 Aug 3].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Spine Deform. 2020;10.1007/s43390-020-00181-7.</w:t>
      </w:r>
    </w:p>
    <w:p w14:paraId="158BC8C4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Ailon T, Smith JS, Shaffrey CI, et al.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Degenerative spinal deformity. Neurosurgery. 2015;77 Suppl 4:S75-S91. doi:10.1227/NEU.0000000000000938.</w:t>
      </w:r>
    </w:p>
    <w:p w14:paraId="2EA1B416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Haldeman S, Nordin M, Chou R, Côté P, Hurwitz EL, Johnson CD, et al. The Global Spine Care Initiative: World Spine Care executive summary on reducing spine-related disability in low- and middle-income communities.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Eur Spine J. 2018;27(Suppl 6):776-85.</w:t>
      </w:r>
    </w:p>
    <w:p w14:paraId="0C868244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DePalma MJ, Slipman CW. Evidence-informed management of chronic low back pain with epidural steroid injections.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Spine J. 2008;8(1):45-55.</w:t>
      </w:r>
    </w:p>
    <w:p w14:paraId="1F402F1D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McAviney J, Mee J, Fazalbhoy A, Du Plessis J, Brown BT. A systematic literature review of spinal brace/orthosis treatment for adults with scoliosis between 1967 and 2018: clinical outcomes and harms data.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BMC Musculoskelet Disord. 2020;21(1):87.</w:t>
      </w:r>
    </w:p>
    <w:p w14:paraId="7C5C3F27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>Sengupta K. Adult spinal deformity. In: Rao RD, Smuck M, editors. Orthopaedic knowledge update: spine. 4th ed. Rosemont, IL: American Academy of Orthopaedic Surgeons; 2012. p. 349-67.</w:t>
      </w:r>
    </w:p>
    <w:p w14:paraId="79EFB047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Cho KJ, Suk SI, Park SR, Kim JH, Kang SB, Kim HS, et al. Risk factors of sagittal decompensation after long posterior instrumentation and fusion for degenerative lumbar scoliosis.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Spine (Phila Pa 1976). 2010;35(17):1595-601.</w:t>
      </w:r>
    </w:p>
    <w:p w14:paraId="7B4A9065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Silva FE, Lenke LG. Adult degenerative scoliosis: evaluation and management.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Neurosurg Focus. 2010;28(3):E1.</w:t>
      </w:r>
    </w:p>
    <w:p w14:paraId="76927597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 xml:space="preserve">Kim W, Porrino JA, Hood KA, Chadaz TS, Klauser AS, Taljanovic MS. </w:t>
      </w: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Clinical evaluation, imaging, and management of adolescent idiopathic and adult degenerative scoliosis.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Curr Probl Diagn Radiol. 2019;48(4):402-14.</w:t>
      </w:r>
    </w:p>
    <w:p w14:paraId="6BB60848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 xml:space="preserve">Mobbs RJ, Phan K, Malham G, Seex K, Rao PJ. </w:t>
      </w: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Lumbar interbody fusion: techniques, indications and comparison of interbody fusion options including PLIF, TLIF, MI-TLIF, OLIF/ATP, LLIF and ALIF.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J Spine Surg. 2015;1(1):2-18.</w:t>
      </w:r>
    </w:p>
    <w:p w14:paraId="416897AF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Schwab F, Blondel B, Chay E, Demakakos J, Lenke L, Tropiano P, et al. The comprehensive anatomical spinal osteotomy classification. Neurosurgery. 2014;74(1):112-20.</w:t>
      </w:r>
    </w:p>
    <w:p w14:paraId="648FF335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Uribe JS, Schwab F, Mundis GM, Xu DS, Januszewski J, Kanter AS, et al. The comprehensive anatomical spinal osteotomy and anterior column realignment classification. J Neurosurg Spine. 2018;29(5):565-75.</w:t>
      </w:r>
    </w:p>
    <w:p w14:paraId="017221E8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Park SJ, Park JS, Kang DH, Lim YM, Lee CS. Self-image perception as a key determinant of long-term patient satisfaction following adult spinal deformity surgery. Global Spine J. 2025;21925682251334984.</w:t>
      </w:r>
    </w:p>
    <w:p w14:paraId="128B791B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Sun X, Huang J, Wang W, Gan L, Cao L, Liu Y, et al. How to view the effectiveness of spinal deformity surgery for adult degenerative scoliosis in octogenarian population?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A comprehensive analysis and judgment. Neurosurg Rev. 2025;48(1):378.</w:t>
      </w:r>
    </w:p>
    <w:p w14:paraId="0BB1C0A7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Zhang Q, Chen Z, Lin Y, Zhang X, Wu W, Liang Y. The role of robot-assisted technique in treating adult degenerative scoliosis with circumferential minimal invasive correction surgery - a retrospective analysis of 51 consecutive cases.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Orthop Res Rev. 2025;17:189-98.</w:t>
      </w:r>
    </w:p>
    <w:p w14:paraId="3D387C5B" w14:textId="77777777" w:rsidR="00403AC9" w:rsidRPr="00403AC9" w:rsidRDefault="00403AC9" w:rsidP="00403A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Sansur CA, Smith JS, Coe JD, Glassman SD, Berven SH, Polly Jr DW, et al. Scoliosis Research Society morbidity and mortality of adult scoliosis surgery. 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Spine (Phila Pa 1976). 2011;36(9):E593-7.</w:t>
      </w:r>
    </w:p>
    <w:p w14:paraId="4F674252" w14:textId="77777777" w:rsidR="00403AC9" w:rsidRPr="00403AC9" w:rsidRDefault="00D619BD" w:rsidP="00403AC9">
      <w:pPr>
        <w:rPr>
          <w:rFonts w:ascii="Times New Roman" w:eastAsia="Times New Roman" w:hAnsi="Times New Roman" w:cs="Times New Roman"/>
          <w:lang w:eastAsia="pt-BR"/>
        </w:rPr>
      </w:pPr>
      <w:r w:rsidRPr="00403AC9">
        <w:rPr>
          <w:rFonts w:ascii="Times New Roman" w:eastAsia="Times New Roman" w:hAnsi="Times New Roman" w:cs="Times New Roman"/>
          <w:noProof/>
          <w:lang w:eastAsia="pt-BR"/>
        </w:rPr>
        <w:pict w14:anchorId="13D8BB3D">
          <v:rect id="_x0000_i1025" alt="" style="width:424.75pt;height:.05pt;mso-width-percent:0;mso-height-percent:0;mso-width-percent:0;mso-height-percent:0" o:hrpct="999" o:hralign="center" o:hrstd="t" o:hr="t" fillcolor="#a0a0a0" stroked="f"/>
        </w:pict>
      </w:r>
    </w:p>
    <w:p w14:paraId="47681B01" w14:textId="77777777" w:rsidR="00403AC9" w:rsidRPr="00403AC9" w:rsidRDefault="00403AC9" w:rsidP="00403A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Metadados para publicação</w:t>
      </w:r>
    </w:p>
    <w:p w14:paraId="7FE0DFAF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Título SEO: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 Escoliose do adulto: avaliação e tratamento | Tratado</w:t>
      </w:r>
    </w:p>
    <w:p w14:paraId="70F2331C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Meta descrição: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 Escoliose do adulto: fisiopatologia, avaliação espinopélvica, classificação SRS-Schwab, tratamento conservador e princípios da correção cirúrgica.</w:t>
      </w:r>
    </w:p>
    <w:p w14:paraId="169FA0CD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Resumo de chamada: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 Abordagem da escoliose do adulto integrando degeneração, sintomas neurológicos, equilíbrio espinopélvico, classificação, tratamento conservador e princípios da reconstrução cirúrgica.</w:t>
      </w:r>
    </w:p>
    <w:p w14:paraId="04E8940B" w14:textId="77777777" w:rsidR="00403AC9" w:rsidRPr="00403AC9" w:rsidRDefault="00403AC9" w:rsidP="00403AC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03AC9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Sugestão de slug:</w:t>
      </w:r>
      <w:r w:rsidRPr="00403AC9">
        <w:rPr>
          <w:rFonts w:ascii="Times New Roman" w:eastAsia="Times New Roman" w:hAnsi="Times New Roman" w:cs="Times New Roman"/>
          <w:color w:val="000000"/>
          <w:lang w:eastAsia="pt-BR"/>
        </w:rPr>
        <w:t> </w:t>
      </w:r>
      <w:r w:rsidRPr="00403AC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escoliose-do-adulto</w:t>
      </w:r>
    </w:p>
    <w:p w14:paraId="606FD21B" w14:textId="77777777" w:rsidR="003C2187" w:rsidRDefault="00000000"/>
    <w:sectPr w:rsidR="003C2187" w:rsidSect="0046111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1ED1"/>
    <w:multiLevelType w:val="multilevel"/>
    <w:tmpl w:val="02421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805E94"/>
    <w:multiLevelType w:val="multilevel"/>
    <w:tmpl w:val="428E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F40BF"/>
    <w:multiLevelType w:val="multilevel"/>
    <w:tmpl w:val="439C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196670">
    <w:abstractNumId w:val="1"/>
  </w:num>
  <w:num w:numId="2" w16cid:durableId="1032338999">
    <w:abstractNumId w:val="0"/>
  </w:num>
  <w:num w:numId="3" w16cid:durableId="213540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AC9"/>
    <w:rsid w:val="000D7E60"/>
    <w:rsid w:val="002D732D"/>
    <w:rsid w:val="00403AC9"/>
    <w:rsid w:val="0045079E"/>
    <w:rsid w:val="00461115"/>
    <w:rsid w:val="005E2B43"/>
    <w:rsid w:val="00602A1B"/>
    <w:rsid w:val="006B0FCD"/>
    <w:rsid w:val="006B691F"/>
    <w:rsid w:val="00743DED"/>
    <w:rsid w:val="007D0808"/>
    <w:rsid w:val="00821A1A"/>
    <w:rsid w:val="008A7C98"/>
    <w:rsid w:val="008B5D87"/>
    <w:rsid w:val="00A50355"/>
    <w:rsid w:val="00A96B78"/>
    <w:rsid w:val="00B702F2"/>
    <w:rsid w:val="00C20A44"/>
    <w:rsid w:val="00C62276"/>
    <w:rsid w:val="00D619BD"/>
    <w:rsid w:val="00D973F4"/>
    <w:rsid w:val="00E34133"/>
    <w:rsid w:val="00E8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17B68"/>
  <w15:chartTrackingRefBased/>
  <w15:docId w15:val="{3732F8C2-6CC8-5C48-8911-E4D12531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03AC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03AC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03AC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3AC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03AC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03AC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03AC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403AC9"/>
    <w:rPr>
      <w:b/>
      <w:bCs/>
    </w:rPr>
  </w:style>
  <w:style w:type="character" w:customStyle="1" w:styleId="apple-converted-space">
    <w:name w:val="apple-converted-space"/>
    <w:basedOn w:val="Fontepargpadro"/>
    <w:rsid w:val="00403AC9"/>
  </w:style>
  <w:style w:type="character" w:styleId="nfase">
    <w:name w:val="Emphasis"/>
    <w:basedOn w:val="Fontepargpadro"/>
    <w:uiPriority w:val="20"/>
    <w:qFormat/>
    <w:rsid w:val="00403AC9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403AC9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403A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0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70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15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2741</Words>
  <Characters>14802</Characters>
  <Application>Microsoft Office Word</Application>
  <DocSecurity>0</DocSecurity>
  <Lines>123</Lines>
  <Paragraphs>35</Paragraphs>
  <ScaleCrop>false</ScaleCrop>
  <Company/>
  <LinksUpToDate>false</LinksUpToDate>
  <CharactersWithSpaces>17508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dcterms:created xsi:type="dcterms:W3CDTF">2026-08-21T02:27:00Z</dcterms:created>
  <dcterms:modified xsi:type="dcterms:W3CDTF">2026-08-21T02:28:00Z</dcterms:modified>
</cp:coreProperties>
</file>