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F86E96" w14:textId="77777777" w:rsidR="000E4AFF" w:rsidRPr="000E4AFF" w:rsidRDefault="000E4AFF" w:rsidP="000E4AFF">
      <w:pPr>
        <w:spacing w:before="100" w:beforeAutospacing="1" w:after="100" w:afterAutospacing="1"/>
        <w:outlineLvl w:val="0"/>
        <w:rPr>
          <w:rFonts w:ascii="Times New Roman" w:eastAsia="Times New Roman" w:hAnsi="Times New Roman" w:cs="Times New Roman"/>
          <w:b/>
          <w:bCs/>
          <w:color w:val="000000"/>
          <w:kern w:val="36"/>
          <w:sz w:val="48"/>
          <w:szCs w:val="48"/>
          <w:lang w:eastAsia="pt-BR"/>
        </w:rPr>
      </w:pPr>
      <w:r w:rsidRPr="000E4AFF">
        <w:rPr>
          <w:rFonts w:ascii="Times New Roman" w:eastAsia="Times New Roman" w:hAnsi="Times New Roman" w:cs="Times New Roman"/>
          <w:b/>
          <w:bCs/>
          <w:color w:val="000000"/>
          <w:kern w:val="36"/>
          <w:sz w:val="48"/>
          <w:szCs w:val="48"/>
          <w:lang w:eastAsia="pt-BR"/>
        </w:rPr>
        <w:t>Capítulo 36 — Escoliose nas Síndromes Genéticas</w:t>
      </w:r>
    </w:p>
    <w:p w14:paraId="12B74D42" w14:textId="77777777" w:rsidR="000E4AFF" w:rsidRPr="000E4AFF" w:rsidRDefault="000E4AFF" w:rsidP="000E4AFF">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0E4AFF">
        <w:rPr>
          <w:rFonts w:ascii="Times New Roman" w:eastAsia="Times New Roman" w:hAnsi="Times New Roman" w:cs="Times New Roman"/>
          <w:b/>
          <w:bCs/>
          <w:color w:val="000000"/>
          <w:sz w:val="36"/>
          <w:szCs w:val="36"/>
          <w:lang w:eastAsia="pt-BR"/>
        </w:rPr>
        <w:t>Identificação</w:t>
      </w:r>
    </w:p>
    <w:p w14:paraId="1D1B8B82" w14:textId="77777777" w:rsidR="000E4AFF" w:rsidRPr="000E4AFF" w:rsidRDefault="000E4AFF" w:rsidP="000E4AFF">
      <w:pPr>
        <w:spacing w:before="100" w:beforeAutospacing="1" w:after="100" w:afterAutospacing="1"/>
        <w:rPr>
          <w:rFonts w:ascii="Times New Roman" w:eastAsia="Times New Roman" w:hAnsi="Times New Roman" w:cs="Times New Roman"/>
          <w:color w:val="000000"/>
          <w:lang w:eastAsia="pt-BR"/>
        </w:rPr>
      </w:pPr>
      <w:r w:rsidRPr="000E4AFF">
        <w:rPr>
          <w:rFonts w:ascii="Times New Roman" w:eastAsia="Times New Roman" w:hAnsi="Times New Roman" w:cs="Times New Roman"/>
          <w:b/>
          <w:bCs/>
          <w:color w:val="000000"/>
          <w:lang w:eastAsia="pt-BR"/>
        </w:rPr>
        <w:t>Número do capítulo:</w:t>
      </w:r>
      <w:r w:rsidRPr="000E4AFF">
        <w:rPr>
          <w:rFonts w:ascii="Times New Roman" w:eastAsia="Times New Roman" w:hAnsi="Times New Roman" w:cs="Times New Roman"/>
          <w:color w:val="000000"/>
          <w:lang w:eastAsia="pt-BR"/>
        </w:rPr>
        <w:t> 36</w:t>
      </w:r>
      <w:r w:rsidRPr="000E4AFF">
        <w:rPr>
          <w:rFonts w:ascii="Times New Roman" w:eastAsia="Times New Roman" w:hAnsi="Times New Roman" w:cs="Times New Roman"/>
          <w:color w:val="000000"/>
          <w:lang w:eastAsia="pt-BR"/>
        </w:rPr>
        <w:br/>
      </w:r>
      <w:r w:rsidRPr="000E4AFF">
        <w:rPr>
          <w:rFonts w:ascii="Times New Roman" w:eastAsia="Times New Roman" w:hAnsi="Times New Roman" w:cs="Times New Roman"/>
          <w:b/>
          <w:bCs/>
          <w:color w:val="000000"/>
          <w:lang w:eastAsia="pt-BR"/>
        </w:rPr>
        <w:t>Título completo:</w:t>
      </w:r>
      <w:r w:rsidRPr="000E4AFF">
        <w:rPr>
          <w:rFonts w:ascii="Times New Roman" w:eastAsia="Times New Roman" w:hAnsi="Times New Roman" w:cs="Times New Roman"/>
          <w:color w:val="000000"/>
          <w:lang w:eastAsia="pt-BR"/>
        </w:rPr>
        <w:t> Escoliose nas Síndromes Genéticas</w:t>
      </w:r>
      <w:r w:rsidRPr="000E4AFF">
        <w:rPr>
          <w:rFonts w:ascii="Times New Roman" w:eastAsia="Times New Roman" w:hAnsi="Times New Roman" w:cs="Times New Roman"/>
          <w:color w:val="000000"/>
          <w:lang w:eastAsia="pt-BR"/>
        </w:rPr>
        <w:br/>
      </w:r>
      <w:r w:rsidRPr="000E4AFF">
        <w:rPr>
          <w:rFonts w:ascii="Times New Roman" w:eastAsia="Times New Roman" w:hAnsi="Times New Roman" w:cs="Times New Roman"/>
          <w:b/>
          <w:bCs/>
          <w:color w:val="000000"/>
          <w:lang w:eastAsia="pt-BR"/>
        </w:rPr>
        <w:t>Seção do Tratado:</w:t>
      </w:r>
      <w:r w:rsidRPr="000E4AFF">
        <w:rPr>
          <w:rFonts w:ascii="Times New Roman" w:eastAsia="Times New Roman" w:hAnsi="Times New Roman" w:cs="Times New Roman"/>
          <w:color w:val="000000"/>
          <w:lang w:eastAsia="pt-BR"/>
        </w:rPr>
        <w:t> não informada no arquivo fornecido.</w:t>
      </w:r>
    </w:p>
    <w:p w14:paraId="44C3CC59" w14:textId="77777777" w:rsidR="000E4AFF" w:rsidRPr="000E4AFF" w:rsidRDefault="000E4AFF" w:rsidP="000E4AFF">
      <w:pPr>
        <w:spacing w:before="100" w:beforeAutospacing="1" w:after="100" w:afterAutospacing="1"/>
        <w:rPr>
          <w:rFonts w:ascii="Times New Roman" w:eastAsia="Times New Roman" w:hAnsi="Times New Roman" w:cs="Times New Roman"/>
          <w:color w:val="000000"/>
          <w:lang w:eastAsia="pt-BR"/>
        </w:rPr>
      </w:pPr>
      <w:r w:rsidRPr="000E4AFF">
        <w:rPr>
          <w:rFonts w:ascii="Times New Roman" w:eastAsia="Times New Roman" w:hAnsi="Times New Roman" w:cs="Times New Roman"/>
          <w:b/>
          <w:bCs/>
          <w:color w:val="000000"/>
          <w:lang w:eastAsia="pt-BR"/>
        </w:rPr>
        <w:t>Autores</w:t>
      </w:r>
    </w:p>
    <w:p w14:paraId="26834F2C" w14:textId="77777777" w:rsidR="000E4AFF" w:rsidRPr="000E4AFF" w:rsidRDefault="000E4AFF" w:rsidP="000E4AFF">
      <w:pPr>
        <w:numPr>
          <w:ilvl w:val="0"/>
          <w:numId w:val="1"/>
        </w:numPr>
        <w:spacing w:before="100" w:beforeAutospacing="1" w:after="100" w:afterAutospacing="1"/>
        <w:rPr>
          <w:rFonts w:ascii="Times New Roman" w:eastAsia="Times New Roman" w:hAnsi="Times New Roman" w:cs="Times New Roman"/>
          <w:color w:val="000000"/>
          <w:lang w:eastAsia="pt-BR"/>
        </w:rPr>
      </w:pPr>
      <w:r w:rsidRPr="000E4AFF">
        <w:rPr>
          <w:rFonts w:ascii="Times New Roman" w:eastAsia="Times New Roman" w:hAnsi="Times New Roman" w:cs="Times New Roman"/>
          <w:color w:val="000000"/>
          <w:lang w:eastAsia="pt-BR"/>
        </w:rPr>
        <w:t>Olavo Biraghi Letaif</w:t>
      </w:r>
    </w:p>
    <w:p w14:paraId="1681007C" w14:textId="77777777" w:rsidR="000E4AFF" w:rsidRPr="000E4AFF" w:rsidRDefault="000E4AFF" w:rsidP="000E4AFF">
      <w:pPr>
        <w:numPr>
          <w:ilvl w:val="0"/>
          <w:numId w:val="1"/>
        </w:numPr>
        <w:spacing w:before="100" w:beforeAutospacing="1" w:after="100" w:afterAutospacing="1"/>
        <w:rPr>
          <w:rFonts w:ascii="Times New Roman" w:eastAsia="Times New Roman" w:hAnsi="Times New Roman" w:cs="Times New Roman"/>
          <w:color w:val="000000"/>
          <w:lang w:eastAsia="pt-BR"/>
        </w:rPr>
      </w:pPr>
      <w:r w:rsidRPr="000E4AFF">
        <w:rPr>
          <w:rFonts w:ascii="Times New Roman" w:eastAsia="Times New Roman" w:hAnsi="Times New Roman" w:cs="Times New Roman"/>
          <w:color w:val="000000"/>
          <w:lang w:eastAsia="pt-BR"/>
        </w:rPr>
        <w:t>Vinicius Antonio Santos Aragão</w:t>
      </w:r>
    </w:p>
    <w:p w14:paraId="6DFC630B" w14:textId="77777777" w:rsidR="000E4AFF" w:rsidRPr="000E4AFF" w:rsidRDefault="000E4AFF" w:rsidP="000E4AFF">
      <w:pPr>
        <w:numPr>
          <w:ilvl w:val="0"/>
          <w:numId w:val="1"/>
        </w:numPr>
        <w:spacing w:before="100" w:beforeAutospacing="1" w:after="100" w:afterAutospacing="1"/>
        <w:rPr>
          <w:rFonts w:ascii="Times New Roman" w:eastAsia="Times New Roman" w:hAnsi="Times New Roman" w:cs="Times New Roman"/>
          <w:color w:val="000000"/>
          <w:lang w:eastAsia="pt-BR"/>
        </w:rPr>
      </w:pPr>
      <w:r w:rsidRPr="000E4AFF">
        <w:rPr>
          <w:rFonts w:ascii="Times New Roman" w:eastAsia="Times New Roman" w:hAnsi="Times New Roman" w:cs="Times New Roman"/>
          <w:color w:val="000000"/>
          <w:lang w:eastAsia="pt-BR"/>
        </w:rPr>
        <w:t>Débora Yumi Yoshimura Orlandin Alves</w:t>
      </w:r>
    </w:p>
    <w:p w14:paraId="29CCD962" w14:textId="77777777" w:rsidR="000E4AFF" w:rsidRPr="000E4AFF" w:rsidRDefault="0050321C" w:rsidP="000E4AFF">
      <w:pPr>
        <w:rPr>
          <w:rFonts w:ascii="Times New Roman" w:eastAsia="Times New Roman" w:hAnsi="Times New Roman" w:cs="Times New Roman"/>
          <w:lang w:eastAsia="pt-BR"/>
        </w:rPr>
      </w:pPr>
      <w:r w:rsidRPr="000E4AFF">
        <w:rPr>
          <w:rFonts w:ascii="Times New Roman" w:eastAsia="Times New Roman" w:hAnsi="Times New Roman" w:cs="Times New Roman"/>
          <w:noProof/>
          <w:lang w:eastAsia="pt-BR"/>
        </w:rPr>
        <w:pict w14:anchorId="7D980031">
          <v:rect id="_x0000_i1036" alt="" style="width:424.75pt;height:.05pt;mso-width-percent:0;mso-height-percent:0;mso-width-percent:0;mso-height-percent:0" o:hrpct="999" o:hralign="center" o:hrstd="t" o:hr="t" fillcolor="#a0a0a0" stroked="f"/>
        </w:pict>
      </w:r>
    </w:p>
    <w:p w14:paraId="32BC3DFF" w14:textId="77777777" w:rsidR="000E4AFF" w:rsidRPr="000E4AFF" w:rsidRDefault="000E4AFF" w:rsidP="000E4AFF">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0E4AFF">
        <w:rPr>
          <w:rFonts w:ascii="Times New Roman" w:eastAsia="Times New Roman" w:hAnsi="Times New Roman" w:cs="Times New Roman"/>
          <w:b/>
          <w:bCs/>
          <w:color w:val="000000"/>
          <w:sz w:val="36"/>
          <w:szCs w:val="36"/>
          <w:lang w:eastAsia="pt-BR"/>
        </w:rPr>
        <w:t>Contexto</w:t>
      </w:r>
    </w:p>
    <w:p w14:paraId="7AA33EB8" w14:textId="77777777" w:rsidR="000E4AFF" w:rsidRPr="000E4AFF" w:rsidRDefault="000E4AFF" w:rsidP="000E4AFF">
      <w:pPr>
        <w:spacing w:before="100" w:beforeAutospacing="1" w:after="100" w:afterAutospacing="1"/>
        <w:rPr>
          <w:rFonts w:ascii="Times New Roman" w:eastAsia="Times New Roman" w:hAnsi="Times New Roman" w:cs="Times New Roman"/>
          <w:color w:val="000000"/>
          <w:lang w:eastAsia="pt-BR"/>
        </w:rPr>
      </w:pPr>
      <w:r w:rsidRPr="000E4AFF">
        <w:rPr>
          <w:rFonts w:ascii="Times New Roman" w:eastAsia="Times New Roman" w:hAnsi="Times New Roman" w:cs="Times New Roman"/>
          <w:color w:val="000000"/>
          <w:lang w:eastAsia="pt-BR"/>
        </w:rPr>
        <w:t>A escoliose sindrômica ocorre como manifestação de uma doença genética subjacente e, por isso, difere conceitualmente da escoliose idiopática. Está presente em condições do tecido conjuntivo, síndromes neurocutâneas, alterações cromossômicas, displasias esqueléticas e doenças associadas à hipotonia, entre outros grupos. A fisiopatologia varia conforme a síndrome: frouxidão ligamentar, fragilidade óssea, malformações vertebrais, alterações cartilaginosas, hipotonia, perda do controle postural ou infiltração tumoral podem participar isoladamente ou em conjunto. Como consequência, as curvas frequentemente surgem mais cedo, apresentam maior tendência à progressão e coexistem com alterações cardiovasculares, respiratórias, neurológicas ou metabólicas capazes de modificar a estratégia terapêutica. O principal desafio é evitar que uma deformidade aparentemente semelhante à escoliose idiopática seja analisada de forma isolada. O diagnóstico da síndrome, as comorbidades, o potencial de crescimento, a qualidade óssea e os riscos específicos da doença precisam integrar o planejamento desde a primeira avaliação.</w:t>
      </w:r>
    </w:p>
    <w:p w14:paraId="63AA05F0" w14:textId="77777777" w:rsidR="000E4AFF" w:rsidRPr="000E4AFF" w:rsidRDefault="0050321C" w:rsidP="000E4AFF">
      <w:pPr>
        <w:rPr>
          <w:rFonts w:ascii="Times New Roman" w:eastAsia="Times New Roman" w:hAnsi="Times New Roman" w:cs="Times New Roman"/>
          <w:lang w:eastAsia="pt-BR"/>
        </w:rPr>
      </w:pPr>
      <w:r w:rsidRPr="000E4AFF">
        <w:rPr>
          <w:rFonts w:ascii="Times New Roman" w:eastAsia="Times New Roman" w:hAnsi="Times New Roman" w:cs="Times New Roman"/>
          <w:noProof/>
          <w:lang w:eastAsia="pt-BR"/>
        </w:rPr>
        <w:pict w14:anchorId="4B4C59A7">
          <v:rect id="_x0000_i1035" alt="" style="width:424.75pt;height:.05pt;mso-width-percent:0;mso-height-percent:0;mso-width-percent:0;mso-height-percent:0" o:hrpct="999" o:hralign="center" o:hrstd="t" o:hr="t" fillcolor="#a0a0a0" stroked="f"/>
        </w:pict>
      </w:r>
    </w:p>
    <w:p w14:paraId="0CB2B403" w14:textId="77777777" w:rsidR="000E4AFF" w:rsidRPr="000E4AFF" w:rsidRDefault="000E4AFF" w:rsidP="000E4AFF">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0E4AFF">
        <w:rPr>
          <w:rFonts w:ascii="Times New Roman" w:eastAsia="Times New Roman" w:hAnsi="Times New Roman" w:cs="Times New Roman"/>
          <w:b/>
          <w:bCs/>
          <w:color w:val="000000"/>
          <w:sz w:val="36"/>
          <w:szCs w:val="36"/>
          <w:lang w:eastAsia="pt-BR"/>
        </w:rPr>
        <w:t>Objetivo do capítulo</w:t>
      </w:r>
    </w:p>
    <w:p w14:paraId="3EB0992D" w14:textId="77777777" w:rsidR="000E4AFF" w:rsidRPr="000E4AFF" w:rsidRDefault="000E4AFF" w:rsidP="000E4AFF">
      <w:pPr>
        <w:spacing w:before="100" w:beforeAutospacing="1" w:after="100" w:afterAutospacing="1"/>
        <w:rPr>
          <w:rFonts w:ascii="Times New Roman" w:eastAsia="Times New Roman" w:hAnsi="Times New Roman" w:cs="Times New Roman"/>
          <w:color w:val="000000"/>
          <w:lang w:eastAsia="pt-BR"/>
        </w:rPr>
      </w:pPr>
      <w:r w:rsidRPr="000E4AFF">
        <w:rPr>
          <w:rFonts w:ascii="Times New Roman" w:eastAsia="Times New Roman" w:hAnsi="Times New Roman" w:cs="Times New Roman"/>
          <w:color w:val="000000"/>
          <w:lang w:eastAsia="pt-BR"/>
        </w:rPr>
        <w:t>Apresentar as principais síndromes genéticas associadas à escoliose e demonstrar como a doença de base modifica fisiopatologia, apresentação clínica, investigação e tratamento da deformidade. O leitor deverá reconhecer sinais sindrômicos, distinguir padrões de maior risco, selecionar exames complementares específicos e compreender por que tratamento conservador, técnicas de preservação do crescimento e cirurgia definitiva precisam ser individualizados segundo cada síndrome e suas comorbidades.</w:t>
      </w:r>
    </w:p>
    <w:p w14:paraId="17F13522" w14:textId="77777777" w:rsidR="000E4AFF" w:rsidRPr="000E4AFF" w:rsidRDefault="0050321C" w:rsidP="000E4AFF">
      <w:pPr>
        <w:rPr>
          <w:rFonts w:ascii="Times New Roman" w:eastAsia="Times New Roman" w:hAnsi="Times New Roman" w:cs="Times New Roman"/>
          <w:lang w:eastAsia="pt-BR"/>
        </w:rPr>
      </w:pPr>
      <w:r w:rsidRPr="000E4AFF">
        <w:rPr>
          <w:rFonts w:ascii="Times New Roman" w:eastAsia="Times New Roman" w:hAnsi="Times New Roman" w:cs="Times New Roman"/>
          <w:noProof/>
          <w:lang w:eastAsia="pt-BR"/>
        </w:rPr>
        <w:pict w14:anchorId="4B182D44">
          <v:rect id="_x0000_i1034" alt="" style="width:424.75pt;height:.05pt;mso-width-percent:0;mso-height-percent:0;mso-width-percent:0;mso-height-percent:0" o:hrpct="999" o:hralign="center" o:hrstd="t" o:hr="t" fillcolor="#a0a0a0" stroked="f"/>
        </w:pict>
      </w:r>
    </w:p>
    <w:p w14:paraId="1B900E67" w14:textId="77777777" w:rsidR="000E4AFF" w:rsidRPr="000E4AFF" w:rsidRDefault="000E4AFF" w:rsidP="000E4AFF">
      <w:pPr>
        <w:spacing w:before="100" w:beforeAutospacing="1" w:after="100" w:afterAutospacing="1"/>
        <w:outlineLvl w:val="0"/>
        <w:rPr>
          <w:rFonts w:ascii="Times New Roman" w:eastAsia="Times New Roman" w:hAnsi="Times New Roman" w:cs="Times New Roman"/>
          <w:b/>
          <w:bCs/>
          <w:color w:val="000000"/>
          <w:kern w:val="36"/>
          <w:sz w:val="48"/>
          <w:szCs w:val="48"/>
          <w:lang w:eastAsia="pt-BR"/>
        </w:rPr>
      </w:pPr>
      <w:r w:rsidRPr="000E4AFF">
        <w:rPr>
          <w:rFonts w:ascii="Times New Roman" w:eastAsia="Times New Roman" w:hAnsi="Times New Roman" w:cs="Times New Roman"/>
          <w:b/>
          <w:bCs/>
          <w:color w:val="000000"/>
          <w:kern w:val="36"/>
          <w:sz w:val="48"/>
          <w:szCs w:val="48"/>
          <w:lang w:eastAsia="pt-BR"/>
        </w:rPr>
        <w:lastRenderedPageBreak/>
        <w:t>Conteúdo principal</w:t>
      </w:r>
    </w:p>
    <w:p w14:paraId="00854FFA" w14:textId="77777777" w:rsidR="000E4AFF" w:rsidRPr="000E4AFF" w:rsidRDefault="000E4AFF" w:rsidP="000E4AFF">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0E4AFF">
        <w:rPr>
          <w:rFonts w:ascii="Times New Roman" w:eastAsia="Times New Roman" w:hAnsi="Times New Roman" w:cs="Times New Roman"/>
          <w:b/>
          <w:bCs/>
          <w:color w:val="000000"/>
          <w:sz w:val="27"/>
          <w:szCs w:val="27"/>
          <w:lang w:eastAsia="pt-BR"/>
        </w:rPr>
        <w:t>Uma mesma deformidade, mecanismos diferentes</w:t>
      </w:r>
    </w:p>
    <w:p w14:paraId="1559D309" w14:textId="77777777" w:rsidR="000E4AFF" w:rsidRPr="000E4AFF" w:rsidRDefault="000E4AFF" w:rsidP="000E4AFF">
      <w:pPr>
        <w:spacing w:before="100" w:beforeAutospacing="1" w:after="100" w:afterAutospacing="1"/>
        <w:rPr>
          <w:rFonts w:ascii="Times New Roman" w:eastAsia="Times New Roman" w:hAnsi="Times New Roman" w:cs="Times New Roman"/>
          <w:color w:val="000000"/>
          <w:lang w:eastAsia="pt-BR"/>
        </w:rPr>
      </w:pPr>
      <w:r w:rsidRPr="000E4AFF">
        <w:rPr>
          <w:rFonts w:ascii="Times New Roman" w:eastAsia="Times New Roman" w:hAnsi="Times New Roman" w:cs="Times New Roman"/>
          <w:color w:val="000000"/>
          <w:lang w:eastAsia="pt-BR"/>
        </w:rPr>
        <w:t>A escoliose sindrômica não representa uma entidade fisiopatológica única. Nas doenças do tecido conjuntivo, como as síndromes de Marfan e Ehlers-Danlos, frouxidão ligamentar e fragilidade dos tecidos favorecem instabilidade e progressão. Nas displasias esqueléticas, alterações intrínsecas de osso e cartilagem produzem curvas frequentemente rígidas e complexas. Na osteogênese imperfeita, fragilidade e deformação vertebral acrescentam dificuldade biomecânica ao tratamento.</w:t>
      </w:r>
    </w:p>
    <w:p w14:paraId="3201B000" w14:textId="77777777" w:rsidR="000E4AFF" w:rsidRPr="000E4AFF" w:rsidRDefault="000E4AFF" w:rsidP="000E4AFF">
      <w:pPr>
        <w:spacing w:before="100" w:beforeAutospacing="1" w:after="100" w:afterAutospacing="1"/>
        <w:rPr>
          <w:rFonts w:ascii="Times New Roman" w:eastAsia="Times New Roman" w:hAnsi="Times New Roman" w:cs="Times New Roman"/>
          <w:color w:val="000000"/>
          <w:lang w:eastAsia="pt-BR"/>
        </w:rPr>
      </w:pPr>
      <w:r w:rsidRPr="000E4AFF">
        <w:rPr>
          <w:rFonts w:ascii="Times New Roman" w:eastAsia="Times New Roman" w:hAnsi="Times New Roman" w:cs="Times New Roman"/>
          <w:color w:val="000000"/>
          <w:lang w:eastAsia="pt-BR"/>
        </w:rPr>
        <w:t>Nas síndromes com hipotonia, como Rett, Prader-Willi e Down, a perda de sustentação muscular modifica o equilíbrio do tronco durante o crescimento. Na neurofibromatose tipo 1 (NF1), a distinção entre formas distróficas e não distróficas é particularmente importante: o padrão distrófico associa alterações vertebrais locais e comportamento mais agressivo.</w:t>
      </w:r>
    </w:p>
    <w:p w14:paraId="05C9CA08" w14:textId="77777777" w:rsidR="000E4AFF" w:rsidRPr="000E4AFF" w:rsidRDefault="000E4AFF" w:rsidP="000E4AFF">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0E4AFF">
        <w:rPr>
          <w:rFonts w:ascii="Times New Roman" w:eastAsia="Times New Roman" w:hAnsi="Times New Roman" w:cs="Times New Roman"/>
          <w:b/>
          <w:bCs/>
          <w:color w:val="000000"/>
          <w:sz w:val="27"/>
          <w:szCs w:val="27"/>
          <w:lang w:eastAsia="pt-BR"/>
        </w:rPr>
        <w:t>O exame precisa procurar a síndrome</w:t>
      </w:r>
    </w:p>
    <w:p w14:paraId="29583E75" w14:textId="77777777" w:rsidR="000E4AFF" w:rsidRPr="000E4AFF" w:rsidRDefault="000E4AFF" w:rsidP="000E4AFF">
      <w:pPr>
        <w:spacing w:before="100" w:beforeAutospacing="1" w:after="100" w:afterAutospacing="1"/>
        <w:rPr>
          <w:rFonts w:ascii="Times New Roman" w:eastAsia="Times New Roman" w:hAnsi="Times New Roman" w:cs="Times New Roman"/>
          <w:color w:val="000000"/>
          <w:lang w:eastAsia="pt-BR"/>
        </w:rPr>
      </w:pPr>
      <w:r w:rsidRPr="000E4AFF">
        <w:rPr>
          <w:rFonts w:ascii="Times New Roman" w:eastAsia="Times New Roman" w:hAnsi="Times New Roman" w:cs="Times New Roman"/>
          <w:color w:val="000000"/>
          <w:lang w:eastAsia="pt-BR"/>
        </w:rPr>
        <w:t>Além de assimetria dos ombros, giba e desequilíbrio do tronco, o exame deve pesquisar manifestações da doença de base. Hiperlaxidade, fragilidade cutânea, baixa estatura, contraturas, alterações neurológicas, hipotonia ou características neurocutâneas podem modificar o diagnóstico.</w:t>
      </w:r>
    </w:p>
    <w:p w14:paraId="3960CA69" w14:textId="77777777" w:rsidR="000E4AFF" w:rsidRPr="000E4AFF" w:rsidRDefault="000E4AFF" w:rsidP="000E4AFF">
      <w:pPr>
        <w:spacing w:before="100" w:beforeAutospacing="1" w:after="100" w:afterAutospacing="1"/>
        <w:rPr>
          <w:rFonts w:ascii="Times New Roman" w:eastAsia="Times New Roman" w:hAnsi="Times New Roman" w:cs="Times New Roman"/>
          <w:color w:val="000000"/>
          <w:lang w:eastAsia="pt-BR"/>
        </w:rPr>
      </w:pPr>
      <w:r w:rsidRPr="000E4AFF">
        <w:rPr>
          <w:rFonts w:ascii="Times New Roman" w:eastAsia="Times New Roman" w:hAnsi="Times New Roman" w:cs="Times New Roman"/>
          <w:color w:val="000000"/>
          <w:lang w:eastAsia="pt-BR"/>
        </w:rPr>
        <w:t>A avaliação neurológica é indispensável. O capítulo destaca o risco de alterações intracanais e de instabilidade craniocervical em determinadas síndromes. Na NF1, a ressonância magnética (RM) auxilia na pesquisa de neurofibromas e alterações distróficas; na síndrome de Down e em doenças como Morquio, a região cervical alta merece atenção específica.</w:t>
      </w:r>
    </w:p>
    <w:p w14:paraId="5141ED4E" w14:textId="77777777" w:rsidR="000E4AFF" w:rsidRPr="000E4AFF" w:rsidRDefault="000E4AFF" w:rsidP="000E4AFF">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0E4AFF">
        <w:rPr>
          <w:rFonts w:ascii="Times New Roman" w:eastAsia="Times New Roman" w:hAnsi="Times New Roman" w:cs="Times New Roman"/>
          <w:b/>
          <w:bCs/>
          <w:color w:val="000000"/>
          <w:sz w:val="27"/>
          <w:szCs w:val="27"/>
          <w:lang w:eastAsia="pt-BR"/>
        </w:rPr>
        <w:t>Avaliação sistêmica faz parte do diagnóstico</w:t>
      </w:r>
    </w:p>
    <w:p w14:paraId="6939B2AF" w14:textId="77777777" w:rsidR="000E4AFF" w:rsidRPr="000E4AFF" w:rsidRDefault="000E4AFF" w:rsidP="000E4AFF">
      <w:pPr>
        <w:spacing w:before="100" w:beforeAutospacing="1" w:after="100" w:afterAutospacing="1"/>
        <w:rPr>
          <w:rFonts w:ascii="Times New Roman" w:eastAsia="Times New Roman" w:hAnsi="Times New Roman" w:cs="Times New Roman"/>
          <w:color w:val="000000"/>
          <w:lang w:eastAsia="pt-BR"/>
        </w:rPr>
      </w:pPr>
      <w:r w:rsidRPr="000E4AFF">
        <w:rPr>
          <w:rFonts w:ascii="Times New Roman" w:eastAsia="Times New Roman" w:hAnsi="Times New Roman" w:cs="Times New Roman"/>
          <w:color w:val="000000"/>
          <w:lang w:eastAsia="pt-BR"/>
        </w:rPr>
        <w:t>Radiografia panorâmica caracteriza a deformidade e a maturidade esquelética, mas exames adicionais são direcionados pela síndrome. RM do neuroeixo, avaliação genética e investigação cardiopulmonar podem ser necessárias.</w:t>
      </w:r>
    </w:p>
    <w:p w14:paraId="6588CC3F" w14:textId="77777777" w:rsidR="000E4AFF" w:rsidRPr="000E4AFF" w:rsidRDefault="000E4AFF" w:rsidP="000E4AFF">
      <w:pPr>
        <w:spacing w:before="100" w:beforeAutospacing="1" w:after="100" w:afterAutospacing="1"/>
        <w:rPr>
          <w:rFonts w:ascii="Times New Roman" w:eastAsia="Times New Roman" w:hAnsi="Times New Roman" w:cs="Times New Roman"/>
          <w:color w:val="000000"/>
          <w:lang w:eastAsia="pt-BR"/>
        </w:rPr>
      </w:pPr>
      <w:r w:rsidRPr="000E4AFF">
        <w:rPr>
          <w:rFonts w:ascii="Times New Roman" w:eastAsia="Times New Roman" w:hAnsi="Times New Roman" w:cs="Times New Roman"/>
          <w:color w:val="000000"/>
          <w:lang w:eastAsia="pt-BR"/>
        </w:rPr>
        <w:t>Essa abordagem é particularmente relevante nas condições em que doença cardiovascular, comprometimento respiratório, fragilidade óssea ou alterações neurológicas aumentam o risco do tratamento.</w:t>
      </w:r>
    </w:p>
    <w:p w14:paraId="4C108393" w14:textId="77777777" w:rsidR="000E4AFF" w:rsidRPr="000E4AFF" w:rsidRDefault="000E4AFF" w:rsidP="000E4AFF">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0E4AFF">
        <w:rPr>
          <w:rFonts w:ascii="Times New Roman" w:eastAsia="Times New Roman" w:hAnsi="Times New Roman" w:cs="Times New Roman"/>
          <w:b/>
          <w:bCs/>
          <w:color w:val="000000"/>
          <w:sz w:val="27"/>
          <w:szCs w:val="27"/>
          <w:lang w:eastAsia="pt-BR"/>
        </w:rPr>
        <w:t>Tratamento conservador: utilidade variável</w:t>
      </w:r>
    </w:p>
    <w:p w14:paraId="30946D74" w14:textId="77777777" w:rsidR="000E4AFF" w:rsidRPr="000E4AFF" w:rsidRDefault="000E4AFF" w:rsidP="000E4AFF">
      <w:pPr>
        <w:spacing w:before="100" w:beforeAutospacing="1" w:after="100" w:afterAutospacing="1"/>
        <w:rPr>
          <w:rFonts w:ascii="Times New Roman" w:eastAsia="Times New Roman" w:hAnsi="Times New Roman" w:cs="Times New Roman"/>
          <w:color w:val="000000"/>
          <w:lang w:eastAsia="pt-BR"/>
        </w:rPr>
      </w:pPr>
      <w:r w:rsidRPr="000E4AFF">
        <w:rPr>
          <w:rFonts w:ascii="Times New Roman" w:eastAsia="Times New Roman" w:hAnsi="Times New Roman" w:cs="Times New Roman"/>
          <w:color w:val="000000"/>
          <w:lang w:eastAsia="pt-BR"/>
        </w:rPr>
        <w:t>Observação e órteses podem ter papel em curvas menores ou mais semelhantes ao comportamento idiopático, mas sua efetividade é altamente dependente da síndrome. O capítulo descreve resposta limitada ao colete em algumas doenças do tecido conjuntivo, menor adesão em condições acompanhadas de comprometimento cognitivo e pouca eficácia nas curvas distróficas da NF1.</w:t>
      </w:r>
    </w:p>
    <w:p w14:paraId="4937C6D1" w14:textId="77777777" w:rsidR="000E4AFF" w:rsidRPr="000E4AFF" w:rsidRDefault="000E4AFF" w:rsidP="000E4AFF">
      <w:pPr>
        <w:spacing w:before="100" w:beforeAutospacing="1" w:after="100" w:afterAutospacing="1"/>
        <w:rPr>
          <w:rFonts w:ascii="Times New Roman" w:eastAsia="Times New Roman" w:hAnsi="Times New Roman" w:cs="Times New Roman"/>
          <w:color w:val="000000"/>
          <w:lang w:eastAsia="pt-BR"/>
        </w:rPr>
      </w:pPr>
      <w:r w:rsidRPr="000E4AFF">
        <w:rPr>
          <w:rFonts w:ascii="Times New Roman" w:eastAsia="Times New Roman" w:hAnsi="Times New Roman" w:cs="Times New Roman"/>
          <w:color w:val="000000"/>
          <w:lang w:eastAsia="pt-BR"/>
        </w:rPr>
        <w:lastRenderedPageBreak/>
        <w:t>Assim, o tratamento conservador pode funcionar como controle temporário ou estratégia para postergar uma intervenção, mas exige vigilância para progressão.</w:t>
      </w:r>
    </w:p>
    <w:p w14:paraId="7BD32B4B" w14:textId="77777777" w:rsidR="000E4AFF" w:rsidRPr="000E4AFF" w:rsidRDefault="000E4AFF" w:rsidP="000E4AFF">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0E4AFF">
        <w:rPr>
          <w:rFonts w:ascii="Times New Roman" w:eastAsia="Times New Roman" w:hAnsi="Times New Roman" w:cs="Times New Roman"/>
          <w:b/>
          <w:bCs/>
          <w:color w:val="000000"/>
          <w:sz w:val="27"/>
          <w:szCs w:val="27"/>
          <w:lang w:eastAsia="pt-BR"/>
        </w:rPr>
        <w:t>Cirurgia adaptada à doença de base</w:t>
      </w:r>
    </w:p>
    <w:p w14:paraId="6F30E79C" w14:textId="77777777" w:rsidR="000E4AFF" w:rsidRPr="000E4AFF" w:rsidRDefault="000E4AFF" w:rsidP="000E4AFF">
      <w:pPr>
        <w:spacing w:before="100" w:beforeAutospacing="1" w:after="100" w:afterAutospacing="1"/>
        <w:rPr>
          <w:rFonts w:ascii="Times New Roman" w:eastAsia="Times New Roman" w:hAnsi="Times New Roman" w:cs="Times New Roman"/>
          <w:color w:val="000000"/>
          <w:lang w:eastAsia="pt-BR"/>
        </w:rPr>
      </w:pPr>
      <w:r w:rsidRPr="000E4AFF">
        <w:rPr>
          <w:rFonts w:ascii="Times New Roman" w:eastAsia="Times New Roman" w:hAnsi="Times New Roman" w:cs="Times New Roman"/>
          <w:color w:val="000000"/>
          <w:lang w:eastAsia="pt-BR"/>
        </w:rPr>
        <w:t>A artrodese instrumentada constitui a base do tratamento das deformidades progressivas. Crianças pequenas podem necessitar estratégias que preservem crescimento, reconhecendo-se o elevado índice de complicações dessas técnicas em populações sindrômicas.</w:t>
      </w:r>
    </w:p>
    <w:p w14:paraId="4232462E" w14:textId="77777777" w:rsidR="000E4AFF" w:rsidRPr="000E4AFF" w:rsidRDefault="000E4AFF" w:rsidP="000E4AFF">
      <w:pPr>
        <w:spacing w:before="100" w:beforeAutospacing="1" w:after="100" w:afterAutospacing="1"/>
        <w:rPr>
          <w:rFonts w:ascii="Times New Roman" w:eastAsia="Times New Roman" w:hAnsi="Times New Roman" w:cs="Times New Roman"/>
          <w:color w:val="000000"/>
          <w:lang w:eastAsia="pt-BR"/>
        </w:rPr>
      </w:pPr>
      <w:r w:rsidRPr="000E4AFF">
        <w:rPr>
          <w:rFonts w:ascii="Times New Roman" w:eastAsia="Times New Roman" w:hAnsi="Times New Roman" w:cs="Times New Roman"/>
          <w:color w:val="000000"/>
          <w:lang w:eastAsia="pt-BR"/>
        </w:rPr>
        <w:t>Qualidade óssea, frouxidão ligamentar, ectasia dural, alterações vasculares e risco de pseudoartrose influenciam a extensão da reconstrução e a robustez da fixação. O caso clínico apresentado nas </w:t>
      </w:r>
      <w:r w:rsidRPr="000E4AFF">
        <w:rPr>
          <w:rFonts w:ascii="Times New Roman" w:eastAsia="Times New Roman" w:hAnsi="Times New Roman" w:cs="Times New Roman"/>
          <w:b/>
          <w:bCs/>
          <w:color w:val="000000"/>
          <w:lang w:eastAsia="pt-BR"/>
        </w:rPr>
        <w:t>Figuras 36.1 a 36.3</w:t>
      </w:r>
      <w:r w:rsidRPr="000E4AFF">
        <w:rPr>
          <w:rFonts w:ascii="Times New Roman" w:eastAsia="Times New Roman" w:hAnsi="Times New Roman" w:cs="Times New Roman"/>
          <w:color w:val="000000"/>
          <w:lang w:eastAsia="pt-BR"/>
        </w:rPr>
        <w:t> ilustra uma deformidade grave associada à displasia diastrófica tratada com tração gradual antes da reconstrução definitiva.</w:t>
      </w:r>
    </w:p>
    <w:p w14:paraId="1DBB2BF4" w14:textId="77777777" w:rsidR="000E4AFF" w:rsidRPr="000E4AFF" w:rsidRDefault="0050321C" w:rsidP="000E4AFF">
      <w:pPr>
        <w:rPr>
          <w:rFonts w:ascii="Times New Roman" w:eastAsia="Times New Roman" w:hAnsi="Times New Roman" w:cs="Times New Roman"/>
          <w:lang w:eastAsia="pt-BR"/>
        </w:rPr>
      </w:pPr>
      <w:r w:rsidRPr="000E4AFF">
        <w:rPr>
          <w:rFonts w:ascii="Times New Roman" w:eastAsia="Times New Roman" w:hAnsi="Times New Roman" w:cs="Times New Roman"/>
          <w:noProof/>
          <w:lang w:eastAsia="pt-BR"/>
        </w:rPr>
        <w:pict w14:anchorId="798D5C1F">
          <v:rect id="_x0000_i1033" alt="" style="width:424.75pt;height:.05pt;mso-width-percent:0;mso-height-percent:0;mso-width-percent:0;mso-height-percent:0" o:hrpct="999" o:hralign="center" o:hrstd="t" o:hr="t" fillcolor="#a0a0a0" stroked="f"/>
        </w:pict>
      </w:r>
    </w:p>
    <w:p w14:paraId="3091EFEE" w14:textId="77777777" w:rsidR="000E4AFF" w:rsidRPr="000E4AFF" w:rsidRDefault="000E4AFF" w:rsidP="000E4AFF">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0E4AFF">
        <w:rPr>
          <w:rFonts w:ascii="Times New Roman" w:eastAsia="Times New Roman" w:hAnsi="Times New Roman" w:cs="Times New Roman"/>
          <w:b/>
          <w:bCs/>
          <w:color w:val="000000"/>
          <w:sz w:val="36"/>
          <w:szCs w:val="36"/>
          <w:lang w:eastAsia="pt-BR"/>
        </w:rPr>
        <w:t>Aplicação clínica</w:t>
      </w:r>
    </w:p>
    <w:p w14:paraId="69AE5174" w14:textId="77777777" w:rsidR="000E4AFF" w:rsidRPr="000E4AFF" w:rsidRDefault="000E4AFF" w:rsidP="000E4AFF">
      <w:pPr>
        <w:spacing w:before="100" w:beforeAutospacing="1" w:after="100" w:afterAutospacing="1"/>
        <w:rPr>
          <w:rFonts w:ascii="Times New Roman" w:eastAsia="Times New Roman" w:hAnsi="Times New Roman" w:cs="Times New Roman"/>
          <w:color w:val="000000"/>
          <w:lang w:eastAsia="pt-BR"/>
        </w:rPr>
      </w:pPr>
      <w:r w:rsidRPr="000E4AFF">
        <w:rPr>
          <w:rFonts w:ascii="Times New Roman" w:eastAsia="Times New Roman" w:hAnsi="Times New Roman" w:cs="Times New Roman"/>
          <w:color w:val="000000"/>
          <w:lang w:eastAsia="pt-BR"/>
        </w:rPr>
        <w:t>Na prática, uma escoliose acompanhada de características atípicas deve levar à pergunta: </w:t>
      </w:r>
      <w:r w:rsidRPr="000E4AFF">
        <w:rPr>
          <w:rFonts w:ascii="Times New Roman" w:eastAsia="Times New Roman" w:hAnsi="Times New Roman" w:cs="Times New Roman"/>
          <w:b/>
          <w:bCs/>
          <w:color w:val="000000"/>
          <w:lang w:eastAsia="pt-BR"/>
        </w:rPr>
        <w:t>existe uma síndrome subjacente capaz de modificar a história natural ou o risco do tratamento?</w:t>
      </w:r>
      <w:r w:rsidRPr="000E4AFF">
        <w:rPr>
          <w:rFonts w:ascii="Times New Roman" w:eastAsia="Times New Roman" w:hAnsi="Times New Roman" w:cs="Times New Roman"/>
          <w:color w:val="000000"/>
          <w:lang w:eastAsia="pt-BR"/>
        </w:rPr>
        <w:t> O exame físico precisa ultrapassar a coluna e incluir características cutâneas, articulares, neurológicas, craniofaciais e antropométricas que possam sugerir uma condição genética. Quando houver dúvida, o capítulo valoriza a avaliação genética.</w:t>
      </w:r>
    </w:p>
    <w:p w14:paraId="5F77C0BB" w14:textId="77777777" w:rsidR="000E4AFF" w:rsidRPr="000E4AFF" w:rsidRDefault="000E4AFF" w:rsidP="000E4AFF">
      <w:pPr>
        <w:spacing w:before="100" w:beforeAutospacing="1" w:after="100" w:afterAutospacing="1"/>
        <w:rPr>
          <w:rFonts w:ascii="Times New Roman" w:eastAsia="Times New Roman" w:hAnsi="Times New Roman" w:cs="Times New Roman"/>
          <w:color w:val="000000"/>
          <w:lang w:eastAsia="pt-BR"/>
        </w:rPr>
      </w:pPr>
      <w:r w:rsidRPr="000E4AFF">
        <w:rPr>
          <w:rFonts w:ascii="Times New Roman" w:eastAsia="Times New Roman" w:hAnsi="Times New Roman" w:cs="Times New Roman"/>
          <w:color w:val="000000"/>
          <w:lang w:eastAsia="pt-BR"/>
        </w:rPr>
        <w:t>Depois de identificada a síndrome, o acompanhamento deve ser adaptado ao seu comportamento. Uma curva não distrófica na NF1 não possui necessariamente o mesmo risco de uma curva distrófica; da mesma forma, frouxidão ligamentar, hipotonia ou displasia óssea podem reduzir a capacidade de uma órtese controlar a progressão.</w:t>
      </w:r>
    </w:p>
    <w:p w14:paraId="1029ADDD" w14:textId="77777777" w:rsidR="000E4AFF" w:rsidRPr="000E4AFF" w:rsidRDefault="000E4AFF" w:rsidP="000E4AFF">
      <w:pPr>
        <w:spacing w:before="100" w:beforeAutospacing="1" w:after="100" w:afterAutospacing="1"/>
        <w:rPr>
          <w:rFonts w:ascii="Times New Roman" w:eastAsia="Times New Roman" w:hAnsi="Times New Roman" w:cs="Times New Roman"/>
          <w:color w:val="000000"/>
          <w:lang w:eastAsia="pt-BR"/>
        </w:rPr>
      </w:pPr>
      <w:r w:rsidRPr="000E4AFF">
        <w:rPr>
          <w:rFonts w:ascii="Times New Roman" w:eastAsia="Times New Roman" w:hAnsi="Times New Roman" w:cs="Times New Roman"/>
          <w:color w:val="000000"/>
          <w:lang w:eastAsia="pt-BR"/>
        </w:rPr>
        <w:t>Antes de uma cirurgia, é necessário conhecer as manifestações sistêmicas relevantes. Avaliação cardiovascular ganha importância no Marfan; estabilidade craniocervical precisa ser considerada em determinadas alterações cromossômicas e displasias; função pulmonar merece atenção nas deformidades graves; e fragilidade cutânea ou vascular pode modificar a abordagem em doenças do tecido conjuntivo.</w:t>
      </w:r>
    </w:p>
    <w:p w14:paraId="29FFA84A" w14:textId="77777777" w:rsidR="000E4AFF" w:rsidRPr="000E4AFF" w:rsidRDefault="000E4AFF" w:rsidP="000E4AFF">
      <w:pPr>
        <w:spacing w:before="100" w:beforeAutospacing="1" w:after="100" w:afterAutospacing="1"/>
        <w:rPr>
          <w:rFonts w:ascii="Times New Roman" w:eastAsia="Times New Roman" w:hAnsi="Times New Roman" w:cs="Times New Roman"/>
          <w:color w:val="000000"/>
          <w:lang w:eastAsia="pt-BR"/>
        </w:rPr>
      </w:pPr>
      <w:r w:rsidRPr="000E4AFF">
        <w:rPr>
          <w:rFonts w:ascii="Times New Roman" w:eastAsia="Times New Roman" w:hAnsi="Times New Roman" w:cs="Times New Roman"/>
          <w:color w:val="000000"/>
          <w:lang w:eastAsia="pt-BR"/>
        </w:rPr>
        <w:t>O planejamento deve antecipar qualidade óssea deficiente, maior risco de pseudoartrose, falha dos implantes e necessidade de revisão. A estratégia mais adequada é aquela que controla a deformidade sem ignorar a doença que a produziu, idealmente em ambiente multidisciplinar e com seguimento prolongado.</w:t>
      </w:r>
    </w:p>
    <w:p w14:paraId="4FE7F0C7" w14:textId="77777777" w:rsidR="000E4AFF" w:rsidRPr="000E4AFF" w:rsidRDefault="0050321C" w:rsidP="000E4AFF">
      <w:pPr>
        <w:rPr>
          <w:rFonts w:ascii="Times New Roman" w:eastAsia="Times New Roman" w:hAnsi="Times New Roman" w:cs="Times New Roman"/>
          <w:lang w:eastAsia="pt-BR"/>
        </w:rPr>
      </w:pPr>
      <w:r w:rsidRPr="000E4AFF">
        <w:rPr>
          <w:rFonts w:ascii="Times New Roman" w:eastAsia="Times New Roman" w:hAnsi="Times New Roman" w:cs="Times New Roman"/>
          <w:noProof/>
          <w:lang w:eastAsia="pt-BR"/>
        </w:rPr>
        <w:pict w14:anchorId="3F1409F9">
          <v:rect id="_x0000_i1032" alt="" style="width:424.75pt;height:.05pt;mso-width-percent:0;mso-height-percent:0;mso-width-percent:0;mso-height-percent:0" o:hrpct="999" o:hralign="center" o:hrstd="t" o:hr="t" fillcolor="#a0a0a0" stroked="f"/>
        </w:pict>
      </w:r>
    </w:p>
    <w:p w14:paraId="100CF097" w14:textId="77777777" w:rsidR="000E4AFF" w:rsidRPr="000E4AFF" w:rsidRDefault="000E4AFF" w:rsidP="000E4AFF">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0E4AFF">
        <w:rPr>
          <w:rFonts w:ascii="Times New Roman" w:eastAsia="Times New Roman" w:hAnsi="Times New Roman" w:cs="Times New Roman"/>
          <w:b/>
          <w:bCs/>
          <w:color w:val="000000"/>
          <w:sz w:val="36"/>
          <w:szCs w:val="36"/>
          <w:lang w:eastAsia="pt-BR"/>
        </w:rPr>
        <w:t>Mensagem central</w:t>
      </w:r>
    </w:p>
    <w:p w14:paraId="5B7692B7" w14:textId="77777777" w:rsidR="000E4AFF" w:rsidRPr="000E4AFF" w:rsidRDefault="000E4AFF" w:rsidP="000E4AFF">
      <w:pPr>
        <w:spacing w:before="100" w:beforeAutospacing="1" w:after="100" w:afterAutospacing="1"/>
        <w:rPr>
          <w:rFonts w:ascii="Times New Roman" w:eastAsia="Times New Roman" w:hAnsi="Times New Roman" w:cs="Times New Roman"/>
          <w:color w:val="000000"/>
          <w:lang w:eastAsia="pt-BR"/>
        </w:rPr>
      </w:pPr>
      <w:r w:rsidRPr="000E4AFF">
        <w:rPr>
          <w:rFonts w:ascii="Times New Roman" w:eastAsia="Times New Roman" w:hAnsi="Times New Roman" w:cs="Times New Roman"/>
          <w:color w:val="000000"/>
          <w:lang w:eastAsia="pt-BR"/>
        </w:rPr>
        <w:t>A escoliose sindrômica deve ser interpretada como parte de uma </w:t>
      </w:r>
      <w:r w:rsidRPr="000E4AFF">
        <w:rPr>
          <w:rFonts w:ascii="Times New Roman" w:eastAsia="Times New Roman" w:hAnsi="Times New Roman" w:cs="Times New Roman"/>
          <w:b/>
          <w:bCs/>
          <w:color w:val="000000"/>
          <w:lang w:eastAsia="pt-BR"/>
        </w:rPr>
        <w:t>doença multissistêmica</w:t>
      </w:r>
      <w:r w:rsidRPr="000E4AFF">
        <w:rPr>
          <w:rFonts w:ascii="Times New Roman" w:eastAsia="Times New Roman" w:hAnsi="Times New Roman" w:cs="Times New Roman"/>
          <w:color w:val="000000"/>
          <w:lang w:eastAsia="pt-BR"/>
        </w:rPr>
        <w:t xml:space="preserve">, e não como uma curva isolada. A síndrome de base determina mecanismo, velocidade de progressão, comorbidades, resposta ao tratamento </w:t>
      </w:r>
      <w:r w:rsidRPr="000E4AFF">
        <w:rPr>
          <w:rFonts w:ascii="Times New Roman" w:eastAsia="Times New Roman" w:hAnsi="Times New Roman" w:cs="Times New Roman"/>
          <w:color w:val="000000"/>
          <w:lang w:eastAsia="pt-BR"/>
        </w:rPr>
        <w:lastRenderedPageBreak/>
        <w:t>conservador e riscos cirúrgicos. Reconhecer precocemente sinais sindrômicos, investigar neuroeixo e sistemas potencialmente envolvidos e adaptar a estratégia à qualidade óssea e aos tecidos do paciente são princípios fundamentais para um tratamento seguro e duradouro.</w:t>
      </w:r>
    </w:p>
    <w:p w14:paraId="6EE769B8" w14:textId="77777777" w:rsidR="000E4AFF" w:rsidRPr="000E4AFF" w:rsidRDefault="0050321C" w:rsidP="000E4AFF">
      <w:pPr>
        <w:rPr>
          <w:rFonts w:ascii="Times New Roman" w:eastAsia="Times New Roman" w:hAnsi="Times New Roman" w:cs="Times New Roman"/>
          <w:lang w:eastAsia="pt-BR"/>
        </w:rPr>
      </w:pPr>
      <w:r w:rsidRPr="000E4AFF">
        <w:rPr>
          <w:rFonts w:ascii="Times New Roman" w:eastAsia="Times New Roman" w:hAnsi="Times New Roman" w:cs="Times New Roman"/>
          <w:noProof/>
          <w:lang w:eastAsia="pt-BR"/>
        </w:rPr>
        <w:pict w14:anchorId="7ECF60E8">
          <v:rect id="_x0000_i1031" alt="" style="width:424.75pt;height:.05pt;mso-width-percent:0;mso-height-percent:0;mso-width-percent:0;mso-height-percent:0" o:hrpct="999" o:hralign="center" o:hrstd="t" o:hr="t" fillcolor="#a0a0a0" stroked="f"/>
        </w:pict>
      </w:r>
    </w:p>
    <w:p w14:paraId="3ECF9F9F" w14:textId="77777777" w:rsidR="000E4AFF" w:rsidRPr="000E4AFF" w:rsidRDefault="000E4AFF" w:rsidP="000E4AFF">
      <w:pPr>
        <w:spacing w:beforeAutospacing="1" w:after="100" w:afterAutospacing="1"/>
        <w:outlineLvl w:val="1"/>
        <w:rPr>
          <w:rFonts w:ascii="Times New Roman" w:eastAsia="Times New Roman" w:hAnsi="Times New Roman" w:cs="Times New Roman"/>
          <w:b/>
          <w:bCs/>
          <w:color w:val="000000"/>
          <w:sz w:val="36"/>
          <w:szCs w:val="36"/>
          <w:lang w:eastAsia="pt-BR"/>
        </w:rPr>
      </w:pPr>
      <w:r w:rsidRPr="000E4AFF">
        <w:rPr>
          <w:rFonts w:ascii="Times New Roman" w:eastAsia="Times New Roman" w:hAnsi="Times New Roman" w:cs="Times New Roman"/>
          <w:b/>
          <w:bCs/>
          <w:color w:val="000000"/>
          <w:sz w:val="36"/>
          <w:szCs w:val="36"/>
          <w:lang w:eastAsia="pt-BR"/>
        </w:rPr>
        <w:t>Por que este capítulo importa</w:t>
      </w:r>
    </w:p>
    <w:p w14:paraId="3E2B6044" w14:textId="77777777" w:rsidR="000E4AFF" w:rsidRPr="000E4AFF" w:rsidRDefault="000E4AFF" w:rsidP="000E4AFF">
      <w:pPr>
        <w:spacing w:before="100" w:beforeAutospacing="1" w:afterAutospacing="1"/>
        <w:rPr>
          <w:rFonts w:ascii="Times New Roman" w:eastAsia="Times New Roman" w:hAnsi="Times New Roman" w:cs="Times New Roman"/>
          <w:color w:val="000000"/>
          <w:lang w:eastAsia="pt-BR"/>
        </w:rPr>
      </w:pPr>
      <w:r w:rsidRPr="000E4AFF">
        <w:rPr>
          <w:rFonts w:ascii="Times New Roman" w:eastAsia="Times New Roman" w:hAnsi="Times New Roman" w:cs="Times New Roman"/>
          <w:color w:val="000000"/>
          <w:lang w:eastAsia="pt-BR"/>
        </w:rPr>
        <w:t>Tratar uma escoliose sindrômica como se fosse idiopática pode significar ignorar justamente o fator que mais influencia seu comportamento. Uma ectasia dural, instabilidade cervical, fragilidade vascular, hipotonia ou displasia óssea pode modificar completamente o planejamento. Este capítulo mostra por que identificar a síndrome é parte da avaliação da própria deformidade. Ao conectar coluna, genética e manifestações sistêmicas, ajuda a antecipar progressão, selecionar exames realmente necessários, reconhecer limitações do tratamento conservador e reduzir riscos de uma cirurgia potencialmente mais complexa.</w:t>
      </w:r>
    </w:p>
    <w:p w14:paraId="2118F1D0" w14:textId="77777777" w:rsidR="000E4AFF" w:rsidRPr="000E4AFF" w:rsidRDefault="0050321C" w:rsidP="000E4AFF">
      <w:pPr>
        <w:rPr>
          <w:rFonts w:ascii="Times New Roman" w:eastAsia="Times New Roman" w:hAnsi="Times New Roman" w:cs="Times New Roman"/>
          <w:lang w:eastAsia="pt-BR"/>
        </w:rPr>
      </w:pPr>
      <w:r w:rsidRPr="000E4AFF">
        <w:rPr>
          <w:rFonts w:ascii="Times New Roman" w:eastAsia="Times New Roman" w:hAnsi="Times New Roman" w:cs="Times New Roman"/>
          <w:noProof/>
          <w:lang w:eastAsia="pt-BR"/>
        </w:rPr>
        <w:pict w14:anchorId="74C5A11C">
          <v:rect id="_x0000_i1030" alt="" style="width:424.75pt;height:.05pt;mso-width-percent:0;mso-height-percent:0;mso-width-percent:0;mso-height-percent:0" o:hrpct="999" o:hralign="center" o:hrstd="t" o:hr="t" fillcolor="#a0a0a0" stroked="f"/>
        </w:pict>
      </w:r>
    </w:p>
    <w:p w14:paraId="55017B9F" w14:textId="77777777" w:rsidR="000E4AFF" w:rsidRPr="000E4AFF" w:rsidRDefault="000E4AFF" w:rsidP="000E4AFF">
      <w:pPr>
        <w:spacing w:before="100" w:beforeAutospacing="1" w:after="100" w:afterAutospacing="1"/>
        <w:outlineLvl w:val="0"/>
        <w:rPr>
          <w:rFonts w:ascii="Times New Roman" w:eastAsia="Times New Roman" w:hAnsi="Times New Roman" w:cs="Times New Roman"/>
          <w:b/>
          <w:bCs/>
          <w:color w:val="000000"/>
          <w:kern w:val="36"/>
          <w:sz w:val="48"/>
          <w:szCs w:val="48"/>
          <w:lang w:eastAsia="pt-BR"/>
        </w:rPr>
      </w:pPr>
      <w:r w:rsidRPr="000E4AFF">
        <w:rPr>
          <w:rFonts w:ascii="Times New Roman" w:eastAsia="Times New Roman" w:hAnsi="Times New Roman" w:cs="Times New Roman"/>
          <w:b/>
          <w:bCs/>
          <w:color w:val="000000"/>
          <w:kern w:val="36"/>
          <w:sz w:val="48"/>
          <w:szCs w:val="48"/>
          <w:lang w:eastAsia="pt-BR"/>
        </w:rPr>
        <w:t>Palavras-chave e descritores</w:t>
      </w:r>
    </w:p>
    <w:p w14:paraId="34F07268" w14:textId="77777777" w:rsidR="000E4AFF" w:rsidRPr="000E4AFF" w:rsidRDefault="000E4AFF" w:rsidP="000E4AFF">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0E4AFF">
        <w:rPr>
          <w:rFonts w:ascii="Times New Roman" w:eastAsia="Times New Roman" w:hAnsi="Times New Roman" w:cs="Times New Roman"/>
          <w:b/>
          <w:bCs/>
          <w:color w:val="000000"/>
          <w:sz w:val="36"/>
          <w:szCs w:val="36"/>
          <w:lang w:eastAsia="pt-BR"/>
        </w:rPr>
        <w:t>Descritores controlados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5"/>
        <w:gridCol w:w="2441"/>
      </w:tblGrid>
      <w:tr w:rsidR="000E4AFF" w:rsidRPr="000E4AFF" w14:paraId="71E4859C" w14:textId="77777777" w:rsidTr="000E4AFF">
        <w:trPr>
          <w:tblHeader/>
          <w:tblCellSpacing w:w="15" w:type="dxa"/>
        </w:trPr>
        <w:tc>
          <w:tcPr>
            <w:tcW w:w="0" w:type="auto"/>
            <w:vAlign w:val="center"/>
            <w:hideMark/>
          </w:tcPr>
          <w:p w14:paraId="0761CBFD" w14:textId="77777777" w:rsidR="000E4AFF" w:rsidRPr="000E4AFF" w:rsidRDefault="000E4AFF" w:rsidP="000E4AFF">
            <w:pPr>
              <w:jc w:val="center"/>
              <w:rPr>
                <w:rFonts w:ascii="Times New Roman" w:eastAsia="Times New Roman" w:hAnsi="Times New Roman" w:cs="Times New Roman"/>
                <w:b/>
                <w:bCs/>
                <w:color w:val="000000"/>
                <w:lang w:eastAsia="pt-BR"/>
              </w:rPr>
            </w:pPr>
            <w:r w:rsidRPr="000E4AFF">
              <w:rPr>
                <w:rFonts w:ascii="Times New Roman" w:eastAsia="Times New Roman" w:hAnsi="Times New Roman" w:cs="Times New Roman"/>
                <w:b/>
                <w:bCs/>
                <w:color w:val="000000"/>
                <w:lang w:eastAsia="pt-BR"/>
              </w:rPr>
              <w:t>DeCS — português</w:t>
            </w:r>
          </w:p>
        </w:tc>
        <w:tc>
          <w:tcPr>
            <w:tcW w:w="0" w:type="auto"/>
            <w:vAlign w:val="center"/>
            <w:hideMark/>
          </w:tcPr>
          <w:p w14:paraId="4DDB51F8" w14:textId="77777777" w:rsidR="000E4AFF" w:rsidRPr="000E4AFF" w:rsidRDefault="000E4AFF" w:rsidP="000E4AFF">
            <w:pPr>
              <w:jc w:val="center"/>
              <w:rPr>
                <w:rFonts w:ascii="Times New Roman" w:eastAsia="Times New Roman" w:hAnsi="Times New Roman" w:cs="Times New Roman"/>
                <w:b/>
                <w:bCs/>
                <w:color w:val="000000"/>
                <w:lang w:eastAsia="pt-BR"/>
              </w:rPr>
            </w:pPr>
            <w:r w:rsidRPr="000E4AFF">
              <w:rPr>
                <w:rFonts w:ascii="Times New Roman" w:eastAsia="Times New Roman" w:hAnsi="Times New Roman" w:cs="Times New Roman"/>
                <w:b/>
                <w:bCs/>
                <w:color w:val="000000"/>
                <w:lang w:eastAsia="pt-BR"/>
              </w:rPr>
              <w:t>MeSH — inglês</w:t>
            </w:r>
          </w:p>
        </w:tc>
      </w:tr>
      <w:tr w:rsidR="000E4AFF" w:rsidRPr="000E4AFF" w14:paraId="5F275FF9" w14:textId="77777777" w:rsidTr="000E4AFF">
        <w:trPr>
          <w:tblCellSpacing w:w="15" w:type="dxa"/>
        </w:trPr>
        <w:tc>
          <w:tcPr>
            <w:tcW w:w="0" w:type="auto"/>
            <w:vAlign w:val="center"/>
            <w:hideMark/>
          </w:tcPr>
          <w:p w14:paraId="66E6AECD" w14:textId="77777777" w:rsidR="000E4AFF" w:rsidRPr="000E4AFF" w:rsidRDefault="000E4AFF" w:rsidP="000E4AFF">
            <w:pPr>
              <w:rPr>
                <w:rFonts w:ascii="Times New Roman" w:eastAsia="Times New Roman" w:hAnsi="Times New Roman" w:cs="Times New Roman"/>
                <w:color w:val="000000"/>
                <w:lang w:eastAsia="pt-BR"/>
              </w:rPr>
            </w:pPr>
            <w:r w:rsidRPr="000E4AFF">
              <w:rPr>
                <w:rFonts w:ascii="Times New Roman" w:eastAsia="Times New Roman" w:hAnsi="Times New Roman" w:cs="Times New Roman"/>
                <w:color w:val="000000"/>
                <w:lang w:eastAsia="pt-BR"/>
              </w:rPr>
              <w:t>Escoliose</w:t>
            </w:r>
          </w:p>
        </w:tc>
        <w:tc>
          <w:tcPr>
            <w:tcW w:w="0" w:type="auto"/>
            <w:vAlign w:val="center"/>
            <w:hideMark/>
          </w:tcPr>
          <w:p w14:paraId="3ACCD580" w14:textId="77777777" w:rsidR="000E4AFF" w:rsidRPr="000E4AFF" w:rsidRDefault="000E4AFF" w:rsidP="000E4AFF">
            <w:pPr>
              <w:rPr>
                <w:rFonts w:ascii="Times New Roman" w:eastAsia="Times New Roman" w:hAnsi="Times New Roman" w:cs="Times New Roman"/>
                <w:color w:val="000000"/>
                <w:lang w:eastAsia="pt-BR"/>
              </w:rPr>
            </w:pPr>
            <w:r w:rsidRPr="000E4AFF">
              <w:rPr>
                <w:rFonts w:ascii="Times New Roman" w:eastAsia="Times New Roman" w:hAnsi="Times New Roman" w:cs="Times New Roman"/>
                <w:color w:val="000000"/>
                <w:lang w:eastAsia="pt-BR"/>
              </w:rPr>
              <w:t>Scoliosis</w:t>
            </w:r>
          </w:p>
        </w:tc>
      </w:tr>
      <w:tr w:rsidR="000E4AFF" w:rsidRPr="000E4AFF" w14:paraId="46B018F4" w14:textId="77777777" w:rsidTr="000E4AFF">
        <w:trPr>
          <w:tblCellSpacing w:w="15" w:type="dxa"/>
        </w:trPr>
        <w:tc>
          <w:tcPr>
            <w:tcW w:w="0" w:type="auto"/>
            <w:vAlign w:val="center"/>
            <w:hideMark/>
          </w:tcPr>
          <w:p w14:paraId="0499B072" w14:textId="77777777" w:rsidR="000E4AFF" w:rsidRPr="000E4AFF" w:rsidRDefault="000E4AFF" w:rsidP="000E4AFF">
            <w:pPr>
              <w:rPr>
                <w:rFonts w:ascii="Times New Roman" w:eastAsia="Times New Roman" w:hAnsi="Times New Roman" w:cs="Times New Roman"/>
                <w:color w:val="000000"/>
                <w:lang w:eastAsia="pt-BR"/>
              </w:rPr>
            </w:pPr>
            <w:r w:rsidRPr="000E4AFF">
              <w:rPr>
                <w:rFonts w:ascii="Times New Roman" w:eastAsia="Times New Roman" w:hAnsi="Times New Roman" w:cs="Times New Roman"/>
                <w:color w:val="000000"/>
                <w:lang w:eastAsia="pt-BR"/>
              </w:rPr>
              <w:t>Síndrome de Marfan</w:t>
            </w:r>
          </w:p>
        </w:tc>
        <w:tc>
          <w:tcPr>
            <w:tcW w:w="0" w:type="auto"/>
            <w:vAlign w:val="center"/>
            <w:hideMark/>
          </w:tcPr>
          <w:p w14:paraId="1712C8DA" w14:textId="77777777" w:rsidR="000E4AFF" w:rsidRPr="000E4AFF" w:rsidRDefault="000E4AFF" w:rsidP="000E4AFF">
            <w:pPr>
              <w:rPr>
                <w:rFonts w:ascii="Times New Roman" w:eastAsia="Times New Roman" w:hAnsi="Times New Roman" w:cs="Times New Roman"/>
                <w:color w:val="000000"/>
                <w:lang w:eastAsia="pt-BR"/>
              </w:rPr>
            </w:pPr>
            <w:r w:rsidRPr="000E4AFF">
              <w:rPr>
                <w:rFonts w:ascii="Times New Roman" w:eastAsia="Times New Roman" w:hAnsi="Times New Roman" w:cs="Times New Roman"/>
                <w:color w:val="000000"/>
                <w:lang w:eastAsia="pt-BR"/>
              </w:rPr>
              <w:t>Marfan Syndrome</w:t>
            </w:r>
          </w:p>
        </w:tc>
      </w:tr>
      <w:tr w:rsidR="000E4AFF" w:rsidRPr="000E4AFF" w14:paraId="71542E82" w14:textId="77777777" w:rsidTr="000E4AFF">
        <w:trPr>
          <w:tblCellSpacing w:w="15" w:type="dxa"/>
        </w:trPr>
        <w:tc>
          <w:tcPr>
            <w:tcW w:w="0" w:type="auto"/>
            <w:vAlign w:val="center"/>
            <w:hideMark/>
          </w:tcPr>
          <w:p w14:paraId="6CBA2699" w14:textId="77777777" w:rsidR="000E4AFF" w:rsidRPr="000E4AFF" w:rsidRDefault="000E4AFF" w:rsidP="000E4AFF">
            <w:pPr>
              <w:rPr>
                <w:rFonts w:ascii="Times New Roman" w:eastAsia="Times New Roman" w:hAnsi="Times New Roman" w:cs="Times New Roman"/>
                <w:color w:val="000000"/>
                <w:lang w:eastAsia="pt-BR"/>
              </w:rPr>
            </w:pPr>
            <w:r w:rsidRPr="000E4AFF">
              <w:rPr>
                <w:rFonts w:ascii="Times New Roman" w:eastAsia="Times New Roman" w:hAnsi="Times New Roman" w:cs="Times New Roman"/>
                <w:color w:val="000000"/>
                <w:lang w:eastAsia="pt-BR"/>
              </w:rPr>
              <w:t>Neurofibromatose 1</w:t>
            </w:r>
          </w:p>
        </w:tc>
        <w:tc>
          <w:tcPr>
            <w:tcW w:w="0" w:type="auto"/>
            <w:vAlign w:val="center"/>
            <w:hideMark/>
          </w:tcPr>
          <w:p w14:paraId="3C67B33E" w14:textId="77777777" w:rsidR="000E4AFF" w:rsidRPr="000E4AFF" w:rsidRDefault="000E4AFF" w:rsidP="000E4AFF">
            <w:pPr>
              <w:rPr>
                <w:rFonts w:ascii="Times New Roman" w:eastAsia="Times New Roman" w:hAnsi="Times New Roman" w:cs="Times New Roman"/>
                <w:color w:val="000000"/>
                <w:lang w:eastAsia="pt-BR"/>
              </w:rPr>
            </w:pPr>
            <w:r w:rsidRPr="000E4AFF">
              <w:rPr>
                <w:rFonts w:ascii="Times New Roman" w:eastAsia="Times New Roman" w:hAnsi="Times New Roman" w:cs="Times New Roman"/>
                <w:color w:val="000000"/>
                <w:lang w:eastAsia="pt-BR"/>
              </w:rPr>
              <w:t>Neurofibromatosis 1</w:t>
            </w:r>
          </w:p>
        </w:tc>
      </w:tr>
      <w:tr w:rsidR="000E4AFF" w:rsidRPr="000E4AFF" w14:paraId="72DEE4EE" w14:textId="77777777" w:rsidTr="000E4AFF">
        <w:trPr>
          <w:tblCellSpacing w:w="15" w:type="dxa"/>
        </w:trPr>
        <w:tc>
          <w:tcPr>
            <w:tcW w:w="0" w:type="auto"/>
            <w:vAlign w:val="center"/>
            <w:hideMark/>
          </w:tcPr>
          <w:p w14:paraId="45891B06" w14:textId="77777777" w:rsidR="000E4AFF" w:rsidRPr="000E4AFF" w:rsidRDefault="000E4AFF" w:rsidP="000E4AFF">
            <w:pPr>
              <w:rPr>
                <w:rFonts w:ascii="Times New Roman" w:eastAsia="Times New Roman" w:hAnsi="Times New Roman" w:cs="Times New Roman"/>
                <w:color w:val="000000"/>
                <w:lang w:eastAsia="pt-BR"/>
              </w:rPr>
            </w:pPr>
            <w:r w:rsidRPr="000E4AFF">
              <w:rPr>
                <w:rFonts w:ascii="Times New Roman" w:eastAsia="Times New Roman" w:hAnsi="Times New Roman" w:cs="Times New Roman"/>
                <w:color w:val="000000"/>
                <w:lang w:eastAsia="pt-BR"/>
              </w:rPr>
              <w:t>Síndrome de Down</w:t>
            </w:r>
          </w:p>
        </w:tc>
        <w:tc>
          <w:tcPr>
            <w:tcW w:w="0" w:type="auto"/>
            <w:vAlign w:val="center"/>
            <w:hideMark/>
          </w:tcPr>
          <w:p w14:paraId="37DEA14D" w14:textId="77777777" w:rsidR="000E4AFF" w:rsidRPr="000E4AFF" w:rsidRDefault="000E4AFF" w:rsidP="000E4AFF">
            <w:pPr>
              <w:rPr>
                <w:rFonts w:ascii="Times New Roman" w:eastAsia="Times New Roman" w:hAnsi="Times New Roman" w:cs="Times New Roman"/>
                <w:color w:val="000000"/>
                <w:lang w:eastAsia="pt-BR"/>
              </w:rPr>
            </w:pPr>
            <w:r w:rsidRPr="000E4AFF">
              <w:rPr>
                <w:rFonts w:ascii="Times New Roman" w:eastAsia="Times New Roman" w:hAnsi="Times New Roman" w:cs="Times New Roman"/>
                <w:color w:val="000000"/>
                <w:lang w:eastAsia="pt-BR"/>
              </w:rPr>
              <w:t>Down Syndrome</w:t>
            </w:r>
          </w:p>
        </w:tc>
      </w:tr>
      <w:tr w:rsidR="000E4AFF" w:rsidRPr="000E4AFF" w14:paraId="75023AC2" w14:textId="77777777" w:rsidTr="000E4AFF">
        <w:trPr>
          <w:tblCellSpacing w:w="15" w:type="dxa"/>
        </w:trPr>
        <w:tc>
          <w:tcPr>
            <w:tcW w:w="0" w:type="auto"/>
            <w:vAlign w:val="center"/>
            <w:hideMark/>
          </w:tcPr>
          <w:p w14:paraId="6C01761E" w14:textId="77777777" w:rsidR="000E4AFF" w:rsidRPr="000E4AFF" w:rsidRDefault="000E4AFF" w:rsidP="000E4AFF">
            <w:pPr>
              <w:rPr>
                <w:rFonts w:ascii="Times New Roman" w:eastAsia="Times New Roman" w:hAnsi="Times New Roman" w:cs="Times New Roman"/>
                <w:color w:val="000000"/>
                <w:lang w:eastAsia="pt-BR"/>
              </w:rPr>
            </w:pPr>
            <w:r w:rsidRPr="000E4AFF">
              <w:rPr>
                <w:rFonts w:ascii="Times New Roman" w:eastAsia="Times New Roman" w:hAnsi="Times New Roman" w:cs="Times New Roman"/>
                <w:color w:val="000000"/>
                <w:lang w:eastAsia="pt-BR"/>
              </w:rPr>
              <w:t>Síndrome de Prader-Willi</w:t>
            </w:r>
          </w:p>
        </w:tc>
        <w:tc>
          <w:tcPr>
            <w:tcW w:w="0" w:type="auto"/>
            <w:vAlign w:val="center"/>
            <w:hideMark/>
          </w:tcPr>
          <w:p w14:paraId="0F1D6040" w14:textId="77777777" w:rsidR="000E4AFF" w:rsidRPr="000E4AFF" w:rsidRDefault="000E4AFF" w:rsidP="000E4AFF">
            <w:pPr>
              <w:rPr>
                <w:rFonts w:ascii="Times New Roman" w:eastAsia="Times New Roman" w:hAnsi="Times New Roman" w:cs="Times New Roman"/>
                <w:color w:val="000000"/>
                <w:lang w:eastAsia="pt-BR"/>
              </w:rPr>
            </w:pPr>
            <w:r w:rsidRPr="000E4AFF">
              <w:rPr>
                <w:rFonts w:ascii="Times New Roman" w:eastAsia="Times New Roman" w:hAnsi="Times New Roman" w:cs="Times New Roman"/>
                <w:color w:val="000000"/>
                <w:lang w:eastAsia="pt-BR"/>
              </w:rPr>
              <w:t>Prader-Willi Syndrome</w:t>
            </w:r>
          </w:p>
        </w:tc>
      </w:tr>
      <w:tr w:rsidR="000E4AFF" w:rsidRPr="000E4AFF" w14:paraId="01B26CB4" w14:textId="77777777" w:rsidTr="000E4AFF">
        <w:trPr>
          <w:tblCellSpacing w:w="15" w:type="dxa"/>
        </w:trPr>
        <w:tc>
          <w:tcPr>
            <w:tcW w:w="0" w:type="auto"/>
            <w:vAlign w:val="center"/>
            <w:hideMark/>
          </w:tcPr>
          <w:p w14:paraId="71951790" w14:textId="77777777" w:rsidR="000E4AFF" w:rsidRPr="000E4AFF" w:rsidRDefault="000E4AFF" w:rsidP="000E4AFF">
            <w:pPr>
              <w:rPr>
                <w:rFonts w:ascii="Times New Roman" w:eastAsia="Times New Roman" w:hAnsi="Times New Roman" w:cs="Times New Roman"/>
                <w:color w:val="000000"/>
                <w:lang w:eastAsia="pt-BR"/>
              </w:rPr>
            </w:pPr>
            <w:r w:rsidRPr="000E4AFF">
              <w:rPr>
                <w:rFonts w:ascii="Times New Roman" w:eastAsia="Times New Roman" w:hAnsi="Times New Roman" w:cs="Times New Roman"/>
                <w:color w:val="000000"/>
                <w:lang w:eastAsia="pt-BR"/>
              </w:rPr>
              <w:t>Síndrome de Rett</w:t>
            </w:r>
          </w:p>
        </w:tc>
        <w:tc>
          <w:tcPr>
            <w:tcW w:w="0" w:type="auto"/>
            <w:vAlign w:val="center"/>
            <w:hideMark/>
          </w:tcPr>
          <w:p w14:paraId="7FB5EF83" w14:textId="77777777" w:rsidR="000E4AFF" w:rsidRPr="000E4AFF" w:rsidRDefault="000E4AFF" w:rsidP="000E4AFF">
            <w:pPr>
              <w:rPr>
                <w:rFonts w:ascii="Times New Roman" w:eastAsia="Times New Roman" w:hAnsi="Times New Roman" w:cs="Times New Roman"/>
                <w:color w:val="000000"/>
                <w:lang w:eastAsia="pt-BR"/>
              </w:rPr>
            </w:pPr>
            <w:r w:rsidRPr="000E4AFF">
              <w:rPr>
                <w:rFonts w:ascii="Times New Roman" w:eastAsia="Times New Roman" w:hAnsi="Times New Roman" w:cs="Times New Roman"/>
                <w:color w:val="000000"/>
                <w:lang w:eastAsia="pt-BR"/>
              </w:rPr>
              <w:t>Rett Syndrome</w:t>
            </w:r>
          </w:p>
        </w:tc>
      </w:tr>
      <w:tr w:rsidR="000E4AFF" w:rsidRPr="000E4AFF" w14:paraId="1B4DC690" w14:textId="77777777" w:rsidTr="000E4AFF">
        <w:trPr>
          <w:tblCellSpacing w:w="15" w:type="dxa"/>
        </w:trPr>
        <w:tc>
          <w:tcPr>
            <w:tcW w:w="0" w:type="auto"/>
            <w:vAlign w:val="center"/>
            <w:hideMark/>
          </w:tcPr>
          <w:p w14:paraId="3500EF76" w14:textId="77777777" w:rsidR="000E4AFF" w:rsidRPr="000E4AFF" w:rsidRDefault="000E4AFF" w:rsidP="000E4AFF">
            <w:pPr>
              <w:rPr>
                <w:rFonts w:ascii="Times New Roman" w:eastAsia="Times New Roman" w:hAnsi="Times New Roman" w:cs="Times New Roman"/>
                <w:color w:val="000000"/>
                <w:lang w:eastAsia="pt-BR"/>
              </w:rPr>
            </w:pPr>
            <w:r w:rsidRPr="000E4AFF">
              <w:rPr>
                <w:rFonts w:ascii="Times New Roman" w:eastAsia="Times New Roman" w:hAnsi="Times New Roman" w:cs="Times New Roman"/>
                <w:color w:val="000000"/>
                <w:lang w:eastAsia="pt-BR"/>
              </w:rPr>
              <w:t>Osteogênese Imperfeita</w:t>
            </w:r>
          </w:p>
        </w:tc>
        <w:tc>
          <w:tcPr>
            <w:tcW w:w="0" w:type="auto"/>
            <w:vAlign w:val="center"/>
            <w:hideMark/>
          </w:tcPr>
          <w:p w14:paraId="7FEF52F0" w14:textId="77777777" w:rsidR="000E4AFF" w:rsidRPr="000E4AFF" w:rsidRDefault="000E4AFF" w:rsidP="000E4AFF">
            <w:pPr>
              <w:rPr>
                <w:rFonts w:ascii="Times New Roman" w:eastAsia="Times New Roman" w:hAnsi="Times New Roman" w:cs="Times New Roman"/>
                <w:color w:val="000000"/>
                <w:lang w:eastAsia="pt-BR"/>
              </w:rPr>
            </w:pPr>
            <w:r w:rsidRPr="000E4AFF">
              <w:rPr>
                <w:rFonts w:ascii="Times New Roman" w:eastAsia="Times New Roman" w:hAnsi="Times New Roman" w:cs="Times New Roman"/>
                <w:color w:val="000000"/>
                <w:lang w:eastAsia="pt-BR"/>
              </w:rPr>
              <w:t>Osteogenesis Imperfecta</w:t>
            </w:r>
          </w:p>
        </w:tc>
      </w:tr>
      <w:tr w:rsidR="000E4AFF" w:rsidRPr="000E4AFF" w14:paraId="16C5C08C" w14:textId="77777777" w:rsidTr="000E4AFF">
        <w:trPr>
          <w:tblCellSpacing w:w="15" w:type="dxa"/>
        </w:trPr>
        <w:tc>
          <w:tcPr>
            <w:tcW w:w="0" w:type="auto"/>
            <w:vAlign w:val="center"/>
            <w:hideMark/>
          </w:tcPr>
          <w:p w14:paraId="11C74214" w14:textId="77777777" w:rsidR="000E4AFF" w:rsidRPr="000E4AFF" w:rsidRDefault="000E4AFF" w:rsidP="000E4AFF">
            <w:pPr>
              <w:rPr>
                <w:rFonts w:ascii="Times New Roman" w:eastAsia="Times New Roman" w:hAnsi="Times New Roman" w:cs="Times New Roman"/>
                <w:color w:val="000000"/>
                <w:lang w:eastAsia="pt-BR"/>
              </w:rPr>
            </w:pPr>
            <w:r w:rsidRPr="000E4AFF">
              <w:rPr>
                <w:rFonts w:ascii="Times New Roman" w:eastAsia="Times New Roman" w:hAnsi="Times New Roman" w:cs="Times New Roman"/>
                <w:color w:val="000000"/>
                <w:lang w:eastAsia="pt-BR"/>
              </w:rPr>
              <w:t>Osteocondrodisplasias</w:t>
            </w:r>
          </w:p>
        </w:tc>
        <w:tc>
          <w:tcPr>
            <w:tcW w:w="0" w:type="auto"/>
            <w:vAlign w:val="center"/>
            <w:hideMark/>
          </w:tcPr>
          <w:p w14:paraId="243EC2D9" w14:textId="77777777" w:rsidR="000E4AFF" w:rsidRPr="000E4AFF" w:rsidRDefault="000E4AFF" w:rsidP="000E4AFF">
            <w:pPr>
              <w:rPr>
                <w:rFonts w:ascii="Times New Roman" w:eastAsia="Times New Roman" w:hAnsi="Times New Roman" w:cs="Times New Roman"/>
                <w:color w:val="000000"/>
                <w:lang w:eastAsia="pt-BR"/>
              </w:rPr>
            </w:pPr>
            <w:r w:rsidRPr="000E4AFF">
              <w:rPr>
                <w:rFonts w:ascii="Times New Roman" w:eastAsia="Times New Roman" w:hAnsi="Times New Roman" w:cs="Times New Roman"/>
                <w:color w:val="000000"/>
                <w:lang w:eastAsia="pt-BR"/>
              </w:rPr>
              <w:t>Osteochondrodysplasias</w:t>
            </w:r>
          </w:p>
        </w:tc>
      </w:tr>
    </w:tbl>
    <w:p w14:paraId="5917F5AB" w14:textId="77777777" w:rsidR="000E4AFF" w:rsidRPr="000E4AFF" w:rsidRDefault="000E4AFF" w:rsidP="000E4AFF">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0E4AFF">
        <w:rPr>
          <w:rFonts w:ascii="Times New Roman" w:eastAsia="Times New Roman" w:hAnsi="Times New Roman" w:cs="Times New Roman"/>
          <w:b/>
          <w:bCs/>
          <w:color w:val="000000"/>
          <w:sz w:val="27"/>
          <w:szCs w:val="27"/>
          <w:lang w:eastAsia="pt-BR"/>
        </w:rPr>
        <w:t>Palavras-chave livres adicionais</w:t>
      </w:r>
    </w:p>
    <w:p w14:paraId="0738824F" w14:textId="77777777" w:rsidR="000E4AFF" w:rsidRPr="000E4AFF" w:rsidRDefault="000E4AFF" w:rsidP="000E4AFF">
      <w:pPr>
        <w:spacing w:before="100" w:beforeAutospacing="1" w:after="100" w:afterAutospacing="1"/>
        <w:rPr>
          <w:rFonts w:ascii="Times New Roman" w:eastAsia="Times New Roman" w:hAnsi="Times New Roman" w:cs="Times New Roman"/>
          <w:color w:val="000000"/>
          <w:lang w:eastAsia="pt-BR"/>
        </w:rPr>
      </w:pPr>
      <w:r w:rsidRPr="000E4AFF">
        <w:rPr>
          <w:rFonts w:ascii="Times New Roman" w:eastAsia="Times New Roman" w:hAnsi="Times New Roman" w:cs="Times New Roman"/>
          <w:b/>
          <w:bCs/>
          <w:color w:val="000000"/>
          <w:lang w:eastAsia="pt-BR"/>
        </w:rPr>
        <w:t>Escoliose sindrômica; deformidade vertebral sindrômica; displasia diastrófica; fragilidade óssea; hipotonia; instabilidade craniocervical; curva distrófica; tração halo-gravitacional; técnicas de preservação do crescimento.</w:t>
      </w:r>
    </w:p>
    <w:p w14:paraId="1DEBB45E" w14:textId="77777777" w:rsidR="000E4AFF" w:rsidRPr="000E4AFF" w:rsidRDefault="0050321C" w:rsidP="000E4AFF">
      <w:pPr>
        <w:rPr>
          <w:rFonts w:ascii="Times New Roman" w:eastAsia="Times New Roman" w:hAnsi="Times New Roman" w:cs="Times New Roman"/>
          <w:lang w:eastAsia="pt-BR"/>
        </w:rPr>
      </w:pPr>
      <w:r w:rsidRPr="000E4AFF">
        <w:rPr>
          <w:rFonts w:ascii="Times New Roman" w:eastAsia="Times New Roman" w:hAnsi="Times New Roman" w:cs="Times New Roman"/>
          <w:noProof/>
          <w:lang w:eastAsia="pt-BR"/>
        </w:rPr>
        <w:pict w14:anchorId="5CC2A0B0">
          <v:rect id="_x0000_i1029" alt="" style="width:424.75pt;height:.05pt;mso-width-percent:0;mso-height-percent:0;mso-width-percent:0;mso-height-percent:0" o:hrpct="999" o:hralign="center" o:hrstd="t" o:hr="t" fillcolor="#a0a0a0" stroked="f"/>
        </w:pict>
      </w:r>
    </w:p>
    <w:p w14:paraId="76733F4E" w14:textId="77777777" w:rsidR="000E4AFF" w:rsidRPr="000E4AFF" w:rsidRDefault="000E4AFF" w:rsidP="000E4AFF">
      <w:pPr>
        <w:spacing w:before="100" w:beforeAutospacing="1" w:after="100" w:afterAutospacing="1"/>
        <w:outlineLvl w:val="0"/>
        <w:rPr>
          <w:rFonts w:ascii="Times New Roman" w:eastAsia="Times New Roman" w:hAnsi="Times New Roman" w:cs="Times New Roman"/>
          <w:b/>
          <w:bCs/>
          <w:color w:val="000000"/>
          <w:kern w:val="36"/>
          <w:sz w:val="48"/>
          <w:szCs w:val="48"/>
          <w:lang w:eastAsia="pt-BR"/>
        </w:rPr>
      </w:pPr>
      <w:r w:rsidRPr="000E4AFF">
        <w:rPr>
          <w:rFonts w:ascii="Times New Roman" w:eastAsia="Times New Roman" w:hAnsi="Times New Roman" w:cs="Times New Roman"/>
          <w:b/>
          <w:bCs/>
          <w:color w:val="000000"/>
          <w:kern w:val="36"/>
          <w:sz w:val="48"/>
          <w:szCs w:val="48"/>
          <w:lang w:eastAsia="pt-BR"/>
        </w:rPr>
        <w:t>Três cards de destaque</w:t>
      </w:r>
    </w:p>
    <w:p w14:paraId="3E508647" w14:textId="77777777" w:rsidR="000E4AFF" w:rsidRPr="000E4AFF" w:rsidRDefault="000E4AFF" w:rsidP="000E4AFF">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0E4AFF">
        <w:rPr>
          <w:rFonts w:ascii="Times New Roman" w:eastAsia="Times New Roman" w:hAnsi="Times New Roman" w:cs="Times New Roman"/>
          <w:b/>
          <w:bCs/>
          <w:color w:val="000000"/>
          <w:sz w:val="36"/>
          <w:szCs w:val="36"/>
          <w:lang w:eastAsia="pt-BR"/>
        </w:rPr>
        <w:lastRenderedPageBreak/>
        <w:t>Card 1 — Conceito essencial</w:t>
      </w:r>
    </w:p>
    <w:p w14:paraId="323C1DD9" w14:textId="77777777" w:rsidR="000E4AFF" w:rsidRPr="000E4AFF" w:rsidRDefault="000E4AFF" w:rsidP="000E4AFF">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0E4AFF">
        <w:rPr>
          <w:rFonts w:ascii="Times New Roman" w:eastAsia="Times New Roman" w:hAnsi="Times New Roman" w:cs="Times New Roman"/>
          <w:b/>
          <w:bCs/>
          <w:color w:val="000000"/>
          <w:sz w:val="27"/>
          <w:szCs w:val="27"/>
          <w:lang w:eastAsia="pt-BR"/>
        </w:rPr>
        <w:t>A síndrome define o comportamento</w:t>
      </w:r>
    </w:p>
    <w:p w14:paraId="4751CF52" w14:textId="77777777" w:rsidR="000E4AFF" w:rsidRPr="000E4AFF" w:rsidRDefault="000E4AFF" w:rsidP="000E4AFF">
      <w:pPr>
        <w:spacing w:before="100" w:beforeAutospacing="1" w:after="100" w:afterAutospacing="1"/>
        <w:rPr>
          <w:rFonts w:ascii="Times New Roman" w:eastAsia="Times New Roman" w:hAnsi="Times New Roman" w:cs="Times New Roman"/>
          <w:color w:val="000000"/>
          <w:lang w:eastAsia="pt-BR"/>
        </w:rPr>
      </w:pPr>
      <w:r w:rsidRPr="000E4AFF">
        <w:rPr>
          <w:rFonts w:ascii="Times New Roman" w:eastAsia="Times New Roman" w:hAnsi="Times New Roman" w:cs="Times New Roman"/>
          <w:color w:val="000000"/>
          <w:lang w:eastAsia="pt-BR"/>
        </w:rPr>
        <w:t>A curva escoliótica é apenas uma manifestação da doença de base. Frouxidão ligamentar, hipotonia, displasia óssea, fragilidade tecidual ou infiltração neurofibromatosa produzem deformidades com histórias naturais distintas. Conhecer o diagnóstico sindrômico é essencial para estimar progressão e interpretar corretamente a radiografia.</w:t>
      </w:r>
    </w:p>
    <w:p w14:paraId="288B4D30" w14:textId="77777777" w:rsidR="000E4AFF" w:rsidRPr="000E4AFF" w:rsidRDefault="0050321C" w:rsidP="000E4AFF">
      <w:pPr>
        <w:rPr>
          <w:rFonts w:ascii="Times New Roman" w:eastAsia="Times New Roman" w:hAnsi="Times New Roman" w:cs="Times New Roman"/>
          <w:lang w:eastAsia="pt-BR"/>
        </w:rPr>
      </w:pPr>
      <w:r w:rsidRPr="000E4AFF">
        <w:rPr>
          <w:rFonts w:ascii="Times New Roman" w:eastAsia="Times New Roman" w:hAnsi="Times New Roman" w:cs="Times New Roman"/>
          <w:noProof/>
          <w:lang w:eastAsia="pt-BR"/>
        </w:rPr>
        <w:pict w14:anchorId="319B60F9">
          <v:rect id="_x0000_i1028" alt="" style="width:424.75pt;height:.05pt;mso-width-percent:0;mso-height-percent:0;mso-width-percent:0;mso-height-percent:0" o:hrpct="999" o:hralign="center" o:hrstd="t" o:hr="t" fillcolor="#a0a0a0" stroked="f"/>
        </w:pict>
      </w:r>
    </w:p>
    <w:p w14:paraId="031D0076" w14:textId="77777777" w:rsidR="000E4AFF" w:rsidRPr="000E4AFF" w:rsidRDefault="000E4AFF" w:rsidP="000E4AFF">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0E4AFF">
        <w:rPr>
          <w:rFonts w:ascii="Times New Roman" w:eastAsia="Times New Roman" w:hAnsi="Times New Roman" w:cs="Times New Roman"/>
          <w:b/>
          <w:bCs/>
          <w:color w:val="000000"/>
          <w:sz w:val="36"/>
          <w:szCs w:val="36"/>
          <w:lang w:eastAsia="pt-BR"/>
        </w:rPr>
        <w:t>Card 2 — Decisão clínica</w:t>
      </w:r>
    </w:p>
    <w:p w14:paraId="0AA75010" w14:textId="77777777" w:rsidR="000E4AFF" w:rsidRPr="000E4AFF" w:rsidRDefault="000E4AFF" w:rsidP="000E4AFF">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0E4AFF">
        <w:rPr>
          <w:rFonts w:ascii="Times New Roman" w:eastAsia="Times New Roman" w:hAnsi="Times New Roman" w:cs="Times New Roman"/>
          <w:b/>
          <w:bCs/>
          <w:color w:val="000000"/>
          <w:sz w:val="27"/>
          <w:szCs w:val="27"/>
          <w:lang w:eastAsia="pt-BR"/>
        </w:rPr>
        <w:t>Investigue além da coluna</w:t>
      </w:r>
    </w:p>
    <w:p w14:paraId="4FB73B33" w14:textId="77777777" w:rsidR="000E4AFF" w:rsidRPr="000E4AFF" w:rsidRDefault="000E4AFF" w:rsidP="000E4AFF">
      <w:pPr>
        <w:spacing w:before="100" w:beforeAutospacing="1" w:after="100" w:afterAutospacing="1"/>
        <w:rPr>
          <w:rFonts w:ascii="Times New Roman" w:eastAsia="Times New Roman" w:hAnsi="Times New Roman" w:cs="Times New Roman"/>
          <w:color w:val="000000"/>
          <w:lang w:eastAsia="pt-BR"/>
        </w:rPr>
      </w:pPr>
      <w:r w:rsidRPr="000E4AFF">
        <w:rPr>
          <w:rFonts w:ascii="Times New Roman" w:eastAsia="Times New Roman" w:hAnsi="Times New Roman" w:cs="Times New Roman"/>
          <w:color w:val="000000"/>
          <w:lang w:eastAsia="pt-BR"/>
        </w:rPr>
        <w:t>Antes de indicar tratamento, procure manifestações cardiovasculares, respiratórias, neurológicas e craniocervicais relacionadas à síndrome. A necessidade de RM, investigação genética ou avaliação sistêmica deve ser definida pela condição de base. Uma reconstrução tecnicamente adequada pode tornar-se insegura quando uma comorbidade relevante não é reconhecida.</w:t>
      </w:r>
    </w:p>
    <w:p w14:paraId="4366E5A4" w14:textId="77777777" w:rsidR="000E4AFF" w:rsidRPr="000E4AFF" w:rsidRDefault="0050321C" w:rsidP="000E4AFF">
      <w:pPr>
        <w:rPr>
          <w:rFonts w:ascii="Times New Roman" w:eastAsia="Times New Roman" w:hAnsi="Times New Roman" w:cs="Times New Roman"/>
          <w:lang w:eastAsia="pt-BR"/>
        </w:rPr>
      </w:pPr>
      <w:r w:rsidRPr="000E4AFF">
        <w:rPr>
          <w:rFonts w:ascii="Times New Roman" w:eastAsia="Times New Roman" w:hAnsi="Times New Roman" w:cs="Times New Roman"/>
          <w:noProof/>
          <w:lang w:eastAsia="pt-BR"/>
        </w:rPr>
        <w:pict w14:anchorId="30E3EC8D">
          <v:rect id="_x0000_i1027" alt="" style="width:424.75pt;height:.05pt;mso-width-percent:0;mso-height-percent:0;mso-width-percent:0;mso-height-percent:0" o:hrpct="999" o:hralign="center" o:hrstd="t" o:hr="t" fillcolor="#a0a0a0" stroked="f"/>
        </w:pict>
      </w:r>
    </w:p>
    <w:p w14:paraId="5D849221" w14:textId="77777777" w:rsidR="000E4AFF" w:rsidRPr="000E4AFF" w:rsidRDefault="000E4AFF" w:rsidP="000E4AFF">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0E4AFF">
        <w:rPr>
          <w:rFonts w:ascii="Times New Roman" w:eastAsia="Times New Roman" w:hAnsi="Times New Roman" w:cs="Times New Roman"/>
          <w:b/>
          <w:bCs/>
          <w:color w:val="000000"/>
          <w:sz w:val="36"/>
          <w:szCs w:val="36"/>
          <w:lang w:eastAsia="pt-BR"/>
        </w:rPr>
        <w:t>Card 3 — Pérola ou alerta</w:t>
      </w:r>
    </w:p>
    <w:p w14:paraId="41E6D5C1" w14:textId="77777777" w:rsidR="000E4AFF" w:rsidRPr="000E4AFF" w:rsidRDefault="000E4AFF" w:rsidP="000E4AFF">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0E4AFF">
        <w:rPr>
          <w:rFonts w:ascii="Times New Roman" w:eastAsia="Times New Roman" w:hAnsi="Times New Roman" w:cs="Times New Roman"/>
          <w:b/>
          <w:bCs/>
          <w:color w:val="000000"/>
          <w:sz w:val="27"/>
          <w:szCs w:val="27"/>
          <w:lang w:eastAsia="pt-BR"/>
        </w:rPr>
        <w:t>Colete não funciona igualmente</w:t>
      </w:r>
    </w:p>
    <w:p w14:paraId="4FA317D1" w14:textId="77777777" w:rsidR="000E4AFF" w:rsidRPr="000E4AFF" w:rsidRDefault="000E4AFF" w:rsidP="000E4AFF">
      <w:pPr>
        <w:spacing w:before="100" w:beforeAutospacing="1" w:after="100" w:afterAutospacing="1"/>
        <w:rPr>
          <w:rFonts w:ascii="Times New Roman" w:eastAsia="Times New Roman" w:hAnsi="Times New Roman" w:cs="Times New Roman"/>
          <w:color w:val="000000"/>
          <w:lang w:eastAsia="pt-BR"/>
        </w:rPr>
      </w:pPr>
      <w:r w:rsidRPr="000E4AFF">
        <w:rPr>
          <w:rFonts w:ascii="Times New Roman" w:eastAsia="Times New Roman" w:hAnsi="Times New Roman" w:cs="Times New Roman"/>
          <w:color w:val="000000"/>
          <w:lang w:eastAsia="pt-BR"/>
        </w:rPr>
        <w:t>A resposta ao tratamento ortótico varia amplamente entre as síndromes. Frouxidão ligamentar, hipotonia, comprometimento cognitivo e alterações distróficas podem reduzir sua eficácia ou adesão. Quando a curva apresenta comportamento agressivo, insistir prolongadamente em uma estratégia conservadora ineficaz pode permitir que a deformidade se torne mais complexa.</w:t>
      </w:r>
    </w:p>
    <w:p w14:paraId="3ED58A70" w14:textId="77777777" w:rsidR="000E4AFF" w:rsidRPr="000E4AFF" w:rsidRDefault="0050321C" w:rsidP="000E4AFF">
      <w:pPr>
        <w:rPr>
          <w:rFonts w:ascii="Times New Roman" w:eastAsia="Times New Roman" w:hAnsi="Times New Roman" w:cs="Times New Roman"/>
          <w:lang w:eastAsia="pt-BR"/>
        </w:rPr>
      </w:pPr>
      <w:r w:rsidRPr="000E4AFF">
        <w:rPr>
          <w:rFonts w:ascii="Times New Roman" w:eastAsia="Times New Roman" w:hAnsi="Times New Roman" w:cs="Times New Roman"/>
          <w:noProof/>
          <w:lang w:eastAsia="pt-BR"/>
        </w:rPr>
        <w:pict w14:anchorId="32F6AAA0">
          <v:rect id="_x0000_i1026" alt="" style="width:424.75pt;height:.05pt;mso-width-percent:0;mso-height-percent:0;mso-width-percent:0;mso-height-percent:0" o:hrpct="999" o:hralign="center" o:hrstd="t" o:hr="t" fillcolor="#a0a0a0" stroked="f"/>
        </w:pict>
      </w:r>
    </w:p>
    <w:p w14:paraId="212CB88A" w14:textId="77777777" w:rsidR="000E4AFF" w:rsidRPr="000E4AFF" w:rsidRDefault="000E4AFF" w:rsidP="000E4AFF">
      <w:pPr>
        <w:spacing w:before="100" w:beforeAutospacing="1" w:after="100" w:afterAutospacing="1"/>
        <w:outlineLvl w:val="0"/>
        <w:rPr>
          <w:rFonts w:ascii="Times New Roman" w:eastAsia="Times New Roman" w:hAnsi="Times New Roman" w:cs="Times New Roman"/>
          <w:b/>
          <w:bCs/>
          <w:color w:val="000000"/>
          <w:kern w:val="36"/>
          <w:sz w:val="48"/>
          <w:szCs w:val="48"/>
          <w:lang w:eastAsia="pt-BR"/>
        </w:rPr>
      </w:pPr>
      <w:r w:rsidRPr="000E4AFF">
        <w:rPr>
          <w:rFonts w:ascii="Times New Roman" w:eastAsia="Times New Roman" w:hAnsi="Times New Roman" w:cs="Times New Roman"/>
          <w:b/>
          <w:bCs/>
          <w:color w:val="000000"/>
          <w:kern w:val="36"/>
          <w:sz w:val="48"/>
          <w:szCs w:val="48"/>
          <w:lang w:eastAsia="pt-BR"/>
        </w:rPr>
        <w:t>Referências bibliográficas</w:t>
      </w:r>
    </w:p>
    <w:p w14:paraId="46C9575D" w14:textId="77777777" w:rsidR="000E4AFF" w:rsidRPr="000E4AFF" w:rsidRDefault="000E4AFF" w:rsidP="000E4AFF">
      <w:pPr>
        <w:numPr>
          <w:ilvl w:val="0"/>
          <w:numId w:val="2"/>
        </w:numPr>
        <w:spacing w:before="100" w:beforeAutospacing="1" w:after="100" w:afterAutospacing="1"/>
        <w:rPr>
          <w:rFonts w:ascii="Times New Roman" w:eastAsia="Times New Roman" w:hAnsi="Times New Roman" w:cs="Times New Roman"/>
          <w:color w:val="000000"/>
          <w:lang w:eastAsia="pt-BR"/>
        </w:rPr>
      </w:pPr>
      <w:r w:rsidRPr="000E4AFF">
        <w:rPr>
          <w:rFonts w:ascii="Times New Roman" w:eastAsia="Times New Roman" w:hAnsi="Times New Roman" w:cs="Times New Roman"/>
          <w:color w:val="000000"/>
          <w:lang w:val="en-US" w:eastAsia="pt-BR"/>
        </w:rPr>
        <w:t xml:space="preserve">Levy BJ, Schulz JF, Fornari ED, Wollowick AL. Complications associated with surgical repair of syndromic scoliosis. </w:t>
      </w:r>
      <w:r w:rsidRPr="000E4AFF">
        <w:rPr>
          <w:rFonts w:ascii="Times New Roman" w:eastAsia="Times New Roman" w:hAnsi="Times New Roman" w:cs="Times New Roman"/>
          <w:color w:val="000000"/>
          <w:lang w:eastAsia="pt-BR"/>
        </w:rPr>
        <w:t xml:space="preserve">Scoliosis. </w:t>
      </w:r>
      <w:proofErr w:type="gramStart"/>
      <w:r w:rsidRPr="000E4AFF">
        <w:rPr>
          <w:rFonts w:ascii="Times New Roman" w:eastAsia="Times New Roman" w:hAnsi="Times New Roman" w:cs="Times New Roman"/>
          <w:color w:val="000000"/>
          <w:lang w:eastAsia="pt-BR"/>
        </w:rPr>
        <w:t>2015;10:14</w:t>
      </w:r>
      <w:proofErr w:type="gramEnd"/>
      <w:r w:rsidRPr="000E4AFF">
        <w:rPr>
          <w:rFonts w:ascii="Times New Roman" w:eastAsia="Times New Roman" w:hAnsi="Times New Roman" w:cs="Times New Roman"/>
          <w:color w:val="000000"/>
          <w:lang w:eastAsia="pt-BR"/>
        </w:rPr>
        <w:t>. doi:10.1186/s13013-015-0035-x.</w:t>
      </w:r>
    </w:p>
    <w:p w14:paraId="352969CC" w14:textId="77777777" w:rsidR="000E4AFF" w:rsidRPr="000E4AFF" w:rsidRDefault="000E4AFF" w:rsidP="000E4AFF">
      <w:pPr>
        <w:numPr>
          <w:ilvl w:val="0"/>
          <w:numId w:val="2"/>
        </w:numPr>
        <w:spacing w:before="100" w:beforeAutospacing="1" w:after="100" w:afterAutospacing="1"/>
        <w:rPr>
          <w:rFonts w:ascii="Times New Roman" w:eastAsia="Times New Roman" w:hAnsi="Times New Roman" w:cs="Times New Roman"/>
          <w:color w:val="000000"/>
          <w:lang w:eastAsia="pt-BR"/>
        </w:rPr>
      </w:pPr>
      <w:r w:rsidRPr="000E4AFF">
        <w:rPr>
          <w:rFonts w:ascii="Times New Roman" w:eastAsia="Times New Roman" w:hAnsi="Times New Roman" w:cs="Times New Roman"/>
          <w:color w:val="000000"/>
          <w:lang w:eastAsia="pt-BR"/>
        </w:rPr>
        <w:t xml:space="preserve">Liang W, Yu B, Wang Y, Li Z, Qiu G, Shen J, et al. </w:t>
      </w:r>
      <w:r w:rsidRPr="000E4AFF">
        <w:rPr>
          <w:rFonts w:ascii="Times New Roman" w:eastAsia="Times New Roman" w:hAnsi="Times New Roman" w:cs="Times New Roman"/>
          <w:color w:val="000000"/>
          <w:lang w:val="en-US" w:eastAsia="pt-BR"/>
        </w:rPr>
        <w:t xml:space="preserve">Comparison of posterior correction results between Marfan syndrome scoliosis and adolescent idiopathic scoliosis-a retrospective case-series study. </w:t>
      </w:r>
      <w:r w:rsidRPr="000E4AFF">
        <w:rPr>
          <w:rFonts w:ascii="Times New Roman" w:eastAsia="Times New Roman" w:hAnsi="Times New Roman" w:cs="Times New Roman"/>
          <w:color w:val="000000"/>
          <w:lang w:eastAsia="pt-BR"/>
        </w:rPr>
        <w:t xml:space="preserve">J Orthop Surg Res. </w:t>
      </w:r>
      <w:proofErr w:type="gramStart"/>
      <w:r w:rsidRPr="000E4AFF">
        <w:rPr>
          <w:rFonts w:ascii="Times New Roman" w:eastAsia="Times New Roman" w:hAnsi="Times New Roman" w:cs="Times New Roman"/>
          <w:color w:val="000000"/>
          <w:lang w:eastAsia="pt-BR"/>
        </w:rPr>
        <w:t>2015;10:73</w:t>
      </w:r>
      <w:proofErr w:type="gramEnd"/>
      <w:r w:rsidRPr="000E4AFF">
        <w:rPr>
          <w:rFonts w:ascii="Times New Roman" w:eastAsia="Times New Roman" w:hAnsi="Times New Roman" w:cs="Times New Roman"/>
          <w:color w:val="000000"/>
          <w:lang w:eastAsia="pt-BR"/>
        </w:rPr>
        <w:t>. doi:10.1186/s13018-015-0210-z.</w:t>
      </w:r>
    </w:p>
    <w:p w14:paraId="10CC76E0" w14:textId="77777777" w:rsidR="000E4AFF" w:rsidRPr="000E4AFF" w:rsidRDefault="000E4AFF" w:rsidP="000E4AFF">
      <w:pPr>
        <w:numPr>
          <w:ilvl w:val="0"/>
          <w:numId w:val="2"/>
        </w:numPr>
        <w:spacing w:before="100" w:beforeAutospacing="1" w:after="100" w:afterAutospacing="1"/>
        <w:rPr>
          <w:rFonts w:ascii="Times New Roman" w:eastAsia="Times New Roman" w:hAnsi="Times New Roman" w:cs="Times New Roman"/>
          <w:color w:val="000000"/>
          <w:lang w:eastAsia="pt-BR"/>
        </w:rPr>
      </w:pPr>
      <w:r w:rsidRPr="000E4AFF">
        <w:rPr>
          <w:rFonts w:ascii="Times New Roman" w:eastAsia="Times New Roman" w:hAnsi="Times New Roman" w:cs="Times New Roman"/>
          <w:color w:val="000000"/>
          <w:lang w:val="en-US" w:eastAsia="pt-BR"/>
        </w:rPr>
        <w:t xml:space="preserve">Campbell JW. Dysplasias in the child’s spine. </w:t>
      </w:r>
      <w:r w:rsidRPr="000E4AFF">
        <w:rPr>
          <w:rFonts w:ascii="Times New Roman" w:eastAsia="Times New Roman" w:hAnsi="Times New Roman" w:cs="Times New Roman"/>
          <w:color w:val="000000"/>
          <w:lang w:eastAsia="pt-BR"/>
        </w:rPr>
        <w:t>Neurosurg Clin N Am. 2022;33(1S):e1-e10. doi:10.1016/j.nec.2022.02.001.</w:t>
      </w:r>
    </w:p>
    <w:p w14:paraId="0EF938F5" w14:textId="77777777" w:rsidR="000E4AFF" w:rsidRPr="000E4AFF" w:rsidRDefault="000E4AFF" w:rsidP="000E4AFF">
      <w:pPr>
        <w:numPr>
          <w:ilvl w:val="0"/>
          <w:numId w:val="2"/>
        </w:numPr>
        <w:spacing w:before="100" w:beforeAutospacing="1" w:after="100" w:afterAutospacing="1"/>
        <w:rPr>
          <w:rFonts w:ascii="Times New Roman" w:eastAsia="Times New Roman" w:hAnsi="Times New Roman" w:cs="Times New Roman"/>
          <w:color w:val="000000"/>
          <w:lang w:eastAsia="pt-BR"/>
        </w:rPr>
      </w:pPr>
      <w:r w:rsidRPr="000E4AFF">
        <w:rPr>
          <w:rFonts w:ascii="Times New Roman" w:eastAsia="Times New Roman" w:hAnsi="Times New Roman" w:cs="Times New Roman"/>
          <w:color w:val="000000"/>
          <w:lang w:val="en-US" w:eastAsia="pt-BR"/>
        </w:rPr>
        <w:lastRenderedPageBreak/>
        <w:t xml:space="preserve">de Lind van Wijngaarden RF, de Klerk LW, Festen DA, Hokken-Koelega AC. Scoliosis in Prader-Willi syndrome: prevalence, effects of age, gender, body mass index, lean body mass and genotype. </w:t>
      </w:r>
      <w:r w:rsidRPr="000E4AFF">
        <w:rPr>
          <w:rFonts w:ascii="Times New Roman" w:eastAsia="Times New Roman" w:hAnsi="Times New Roman" w:cs="Times New Roman"/>
          <w:color w:val="000000"/>
          <w:lang w:eastAsia="pt-BR"/>
        </w:rPr>
        <w:t>Arch Dis Child. 2008;93(12):1012-6. doi:10.1136/adc.2007.123836.</w:t>
      </w:r>
    </w:p>
    <w:p w14:paraId="0A0AD0B8" w14:textId="77777777" w:rsidR="000E4AFF" w:rsidRPr="000E4AFF" w:rsidRDefault="000E4AFF" w:rsidP="000E4AFF">
      <w:pPr>
        <w:numPr>
          <w:ilvl w:val="0"/>
          <w:numId w:val="2"/>
        </w:numPr>
        <w:spacing w:before="100" w:beforeAutospacing="1" w:after="100" w:afterAutospacing="1"/>
        <w:rPr>
          <w:rFonts w:ascii="Times New Roman" w:eastAsia="Times New Roman" w:hAnsi="Times New Roman" w:cs="Times New Roman"/>
          <w:color w:val="000000"/>
          <w:lang w:eastAsia="pt-BR"/>
        </w:rPr>
      </w:pPr>
      <w:r w:rsidRPr="000E4AFF">
        <w:rPr>
          <w:rFonts w:ascii="Times New Roman" w:eastAsia="Times New Roman" w:hAnsi="Times New Roman" w:cs="Times New Roman"/>
          <w:color w:val="000000"/>
          <w:lang w:val="en-US" w:eastAsia="pt-BR"/>
        </w:rPr>
        <w:t xml:space="preserve">Greggi T, Martikos K, Lolli F, Bakaloudis G, Di Silvestre M, Cioni A, et al. Treatment of scoliosis in patients affected with Prader-Willi syndrome using various techniques. </w:t>
      </w:r>
      <w:r w:rsidRPr="000E4AFF">
        <w:rPr>
          <w:rFonts w:ascii="Times New Roman" w:eastAsia="Times New Roman" w:hAnsi="Times New Roman" w:cs="Times New Roman"/>
          <w:color w:val="000000"/>
          <w:lang w:eastAsia="pt-BR"/>
        </w:rPr>
        <w:t xml:space="preserve">Scoliosis. </w:t>
      </w:r>
      <w:proofErr w:type="gramStart"/>
      <w:r w:rsidRPr="000E4AFF">
        <w:rPr>
          <w:rFonts w:ascii="Times New Roman" w:eastAsia="Times New Roman" w:hAnsi="Times New Roman" w:cs="Times New Roman"/>
          <w:color w:val="000000"/>
          <w:lang w:eastAsia="pt-BR"/>
        </w:rPr>
        <w:t>2010;5:11</w:t>
      </w:r>
      <w:proofErr w:type="gramEnd"/>
      <w:r w:rsidRPr="000E4AFF">
        <w:rPr>
          <w:rFonts w:ascii="Times New Roman" w:eastAsia="Times New Roman" w:hAnsi="Times New Roman" w:cs="Times New Roman"/>
          <w:color w:val="000000"/>
          <w:lang w:eastAsia="pt-BR"/>
        </w:rPr>
        <w:t>. doi:10.1186/1748-7161-5-11.</w:t>
      </w:r>
    </w:p>
    <w:p w14:paraId="5BF5E1C8" w14:textId="77777777" w:rsidR="000E4AFF" w:rsidRPr="000E4AFF" w:rsidRDefault="000E4AFF" w:rsidP="000E4AFF">
      <w:pPr>
        <w:numPr>
          <w:ilvl w:val="0"/>
          <w:numId w:val="2"/>
        </w:numPr>
        <w:spacing w:before="100" w:beforeAutospacing="1" w:after="100" w:afterAutospacing="1"/>
        <w:rPr>
          <w:rFonts w:ascii="Times New Roman" w:eastAsia="Times New Roman" w:hAnsi="Times New Roman" w:cs="Times New Roman"/>
          <w:color w:val="000000"/>
          <w:lang w:eastAsia="pt-BR"/>
        </w:rPr>
      </w:pPr>
      <w:r w:rsidRPr="000E4AFF">
        <w:rPr>
          <w:rFonts w:ascii="Times New Roman" w:eastAsia="Times New Roman" w:hAnsi="Times New Roman" w:cs="Times New Roman"/>
          <w:color w:val="000000"/>
          <w:lang w:val="en-US" w:eastAsia="pt-BR"/>
        </w:rPr>
        <w:t xml:space="preserve">Rodocanachi Roidi ML, Cozzi F, Isaias IU, Grange F, Ferrari EP, Ripamonti E. Clinical and genetic correlations of scoliosis in Rett syndrome. </w:t>
      </w:r>
      <w:r w:rsidRPr="000E4AFF">
        <w:rPr>
          <w:rFonts w:ascii="Times New Roman" w:eastAsia="Times New Roman" w:hAnsi="Times New Roman" w:cs="Times New Roman"/>
          <w:color w:val="000000"/>
          <w:lang w:eastAsia="pt-BR"/>
        </w:rPr>
        <w:t>Eur Spine J. 2022;31(11):2987-93. doi:10.1007/s00586-022-07217-8.</w:t>
      </w:r>
    </w:p>
    <w:p w14:paraId="02E3A5AE" w14:textId="77777777" w:rsidR="000E4AFF" w:rsidRPr="000E4AFF" w:rsidRDefault="000E4AFF" w:rsidP="000E4AFF">
      <w:pPr>
        <w:numPr>
          <w:ilvl w:val="0"/>
          <w:numId w:val="2"/>
        </w:numPr>
        <w:spacing w:before="100" w:beforeAutospacing="1" w:after="100" w:afterAutospacing="1"/>
        <w:rPr>
          <w:rFonts w:ascii="Times New Roman" w:eastAsia="Times New Roman" w:hAnsi="Times New Roman" w:cs="Times New Roman"/>
          <w:color w:val="000000"/>
          <w:lang w:eastAsia="pt-BR"/>
        </w:rPr>
      </w:pPr>
      <w:r w:rsidRPr="000E4AFF">
        <w:rPr>
          <w:rFonts w:ascii="Times New Roman" w:eastAsia="Times New Roman" w:hAnsi="Times New Roman" w:cs="Times New Roman"/>
          <w:color w:val="000000"/>
          <w:lang w:eastAsia="pt-BR"/>
        </w:rPr>
        <w:t xml:space="preserve">Prabhakar G, Gonuguntla RK, Momtaz D, Chaput C, Hogue GD. </w:t>
      </w:r>
      <w:r w:rsidRPr="000E4AFF">
        <w:rPr>
          <w:rFonts w:ascii="Times New Roman" w:eastAsia="Times New Roman" w:hAnsi="Times New Roman" w:cs="Times New Roman"/>
          <w:color w:val="000000"/>
          <w:lang w:val="en-US" w:eastAsia="pt-BR"/>
        </w:rPr>
        <w:t xml:space="preserve">Vascular injury after scoliosis correction in Ehlers-Danlos syndrome: proceed with caution. </w:t>
      </w:r>
      <w:r w:rsidRPr="000E4AFF">
        <w:rPr>
          <w:rFonts w:ascii="Times New Roman" w:eastAsia="Times New Roman" w:hAnsi="Times New Roman" w:cs="Times New Roman"/>
          <w:color w:val="000000"/>
          <w:lang w:eastAsia="pt-BR"/>
        </w:rPr>
        <w:t>J Am Acad Orthop Surg Glob Res Rev. 2023;7(8):e23.00061. doi:10.5435/JAAOSGlobal-D-23-00061.</w:t>
      </w:r>
    </w:p>
    <w:p w14:paraId="7257A686" w14:textId="77777777" w:rsidR="000E4AFF" w:rsidRPr="000E4AFF" w:rsidRDefault="000E4AFF" w:rsidP="000E4AFF">
      <w:pPr>
        <w:numPr>
          <w:ilvl w:val="0"/>
          <w:numId w:val="2"/>
        </w:numPr>
        <w:spacing w:before="100" w:beforeAutospacing="1" w:after="100" w:afterAutospacing="1"/>
        <w:rPr>
          <w:rFonts w:ascii="Times New Roman" w:eastAsia="Times New Roman" w:hAnsi="Times New Roman" w:cs="Times New Roman"/>
          <w:color w:val="000000"/>
          <w:lang w:eastAsia="pt-BR"/>
        </w:rPr>
      </w:pPr>
      <w:r w:rsidRPr="000E4AFF">
        <w:rPr>
          <w:rFonts w:ascii="Times New Roman" w:eastAsia="Times New Roman" w:hAnsi="Times New Roman" w:cs="Times New Roman"/>
          <w:color w:val="000000"/>
          <w:lang w:val="en-US" w:eastAsia="pt-BR"/>
        </w:rPr>
        <w:t xml:space="preserve">Li H, Zhang W, Yao Z, Guo R, Hao C, Zhang X. </w:t>
      </w:r>
      <w:proofErr w:type="gramStart"/>
      <w:r w:rsidRPr="000E4AFF">
        <w:rPr>
          <w:rFonts w:ascii="Times New Roman" w:eastAsia="Times New Roman" w:hAnsi="Times New Roman" w:cs="Times New Roman"/>
          <w:color w:val="000000"/>
          <w:lang w:val="en-US" w:eastAsia="pt-BR"/>
        </w:rPr>
        <w:t>Genotypes</w:t>
      </w:r>
      <w:proofErr w:type="gramEnd"/>
      <w:r w:rsidRPr="000E4AFF">
        <w:rPr>
          <w:rFonts w:ascii="Times New Roman" w:eastAsia="Times New Roman" w:hAnsi="Times New Roman" w:cs="Times New Roman"/>
          <w:color w:val="000000"/>
          <w:lang w:val="en-US" w:eastAsia="pt-BR"/>
        </w:rPr>
        <w:t xml:space="preserve"> and clinical intervention of patients with neurofibromatosis type 1 associated dystrophic scoliosis. </w:t>
      </w:r>
      <w:r w:rsidRPr="000E4AFF">
        <w:rPr>
          <w:rFonts w:ascii="Times New Roman" w:eastAsia="Times New Roman" w:hAnsi="Times New Roman" w:cs="Times New Roman"/>
          <w:color w:val="000000"/>
          <w:lang w:eastAsia="pt-BR"/>
        </w:rPr>
        <w:t xml:space="preserve">Front Pediatr. </w:t>
      </w:r>
      <w:proofErr w:type="gramStart"/>
      <w:r w:rsidRPr="000E4AFF">
        <w:rPr>
          <w:rFonts w:ascii="Times New Roman" w:eastAsia="Times New Roman" w:hAnsi="Times New Roman" w:cs="Times New Roman"/>
          <w:color w:val="000000"/>
          <w:lang w:eastAsia="pt-BR"/>
        </w:rPr>
        <w:t>2022;10:918136</w:t>
      </w:r>
      <w:proofErr w:type="gramEnd"/>
      <w:r w:rsidRPr="000E4AFF">
        <w:rPr>
          <w:rFonts w:ascii="Times New Roman" w:eastAsia="Times New Roman" w:hAnsi="Times New Roman" w:cs="Times New Roman"/>
          <w:color w:val="000000"/>
          <w:lang w:eastAsia="pt-BR"/>
        </w:rPr>
        <w:t>. doi:10.3389/fped.2022.918136.</w:t>
      </w:r>
    </w:p>
    <w:p w14:paraId="279C6A3B" w14:textId="77777777" w:rsidR="000E4AFF" w:rsidRPr="000E4AFF" w:rsidRDefault="000E4AFF" w:rsidP="000E4AFF">
      <w:pPr>
        <w:numPr>
          <w:ilvl w:val="0"/>
          <w:numId w:val="2"/>
        </w:numPr>
        <w:spacing w:before="100" w:beforeAutospacing="1" w:after="100" w:afterAutospacing="1"/>
        <w:rPr>
          <w:rFonts w:ascii="Times New Roman" w:eastAsia="Times New Roman" w:hAnsi="Times New Roman" w:cs="Times New Roman"/>
          <w:color w:val="000000"/>
          <w:lang w:eastAsia="pt-BR"/>
        </w:rPr>
      </w:pPr>
      <w:r w:rsidRPr="000E4AFF">
        <w:rPr>
          <w:rFonts w:ascii="Times New Roman" w:eastAsia="Times New Roman" w:hAnsi="Times New Roman" w:cs="Times New Roman"/>
          <w:color w:val="000000"/>
          <w:lang w:val="en-US" w:eastAsia="pt-BR"/>
        </w:rPr>
        <w:t xml:space="preserve">Wang X, Yu Y, Yang N, Xia L. Incidence of intraspinal abnormalities in congenital scoliosis: a systematic review and meta-analysis. </w:t>
      </w:r>
      <w:r w:rsidRPr="000E4AFF">
        <w:rPr>
          <w:rFonts w:ascii="Times New Roman" w:eastAsia="Times New Roman" w:hAnsi="Times New Roman" w:cs="Times New Roman"/>
          <w:color w:val="000000"/>
          <w:lang w:eastAsia="pt-BR"/>
        </w:rPr>
        <w:t>J Orthop Surg Res. 2020;15(1):485. doi:10.1186/s13018-020-02015-8.</w:t>
      </w:r>
    </w:p>
    <w:p w14:paraId="36A4141A" w14:textId="77777777" w:rsidR="000E4AFF" w:rsidRPr="000E4AFF" w:rsidRDefault="000E4AFF" w:rsidP="000E4AFF">
      <w:pPr>
        <w:numPr>
          <w:ilvl w:val="0"/>
          <w:numId w:val="2"/>
        </w:numPr>
        <w:spacing w:before="100" w:beforeAutospacing="1" w:after="100" w:afterAutospacing="1"/>
        <w:rPr>
          <w:rFonts w:ascii="Times New Roman" w:eastAsia="Times New Roman" w:hAnsi="Times New Roman" w:cs="Times New Roman"/>
          <w:color w:val="000000"/>
          <w:lang w:eastAsia="pt-BR"/>
        </w:rPr>
      </w:pPr>
      <w:r w:rsidRPr="000E4AFF">
        <w:rPr>
          <w:rFonts w:ascii="Times New Roman" w:eastAsia="Times New Roman" w:hAnsi="Times New Roman" w:cs="Times New Roman"/>
          <w:color w:val="000000"/>
          <w:lang w:val="en-US" w:eastAsia="pt-BR"/>
        </w:rPr>
        <w:t xml:space="preserve">Tsirikos AI, Saifuddin A, Noordeen MH. Spinal deformity in neurofibromatosis </w:t>
      </w:r>
      <w:proofErr w:type="gramStart"/>
      <w:r w:rsidRPr="000E4AFF">
        <w:rPr>
          <w:rFonts w:ascii="Times New Roman" w:eastAsia="Times New Roman" w:hAnsi="Times New Roman" w:cs="Times New Roman"/>
          <w:color w:val="000000"/>
          <w:lang w:val="en-US" w:eastAsia="pt-BR"/>
        </w:rPr>
        <w:t>type-1</w:t>
      </w:r>
      <w:proofErr w:type="gramEnd"/>
      <w:r w:rsidRPr="000E4AFF">
        <w:rPr>
          <w:rFonts w:ascii="Times New Roman" w:eastAsia="Times New Roman" w:hAnsi="Times New Roman" w:cs="Times New Roman"/>
          <w:color w:val="000000"/>
          <w:lang w:val="en-US" w:eastAsia="pt-BR"/>
        </w:rPr>
        <w:t xml:space="preserve">: diagnosis and treatment. </w:t>
      </w:r>
      <w:r w:rsidRPr="000E4AFF">
        <w:rPr>
          <w:rFonts w:ascii="Times New Roman" w:eastAsia="Times New Roman" w:hAnsi="Times New Roman" w:cs="Times New Roman"/>
          <w:color w:val="000000"/>
          <w:lang w:eastAsia="pt-BR"/>
        </w:rPr>
        <w:t>Eur Spine J. 2005;14(5):427-39. doi:10.1007/s00586-004-0829-7.</w:t>
      </w:r>
    </w:p>
    <w:p w14:paraId="4FA40BE7" w14:textId="77777777" w:rsidR="000E4AFF" w:rsidRPr="000E4AFF" w:rsidRDefault="000E4AFF" w:rsidP="000E4AFF">
      <w:pPr>
        <w:numPr>
          <w:ilvl w:val="0"/>
          <w:numId w:val="2"/>
        </w:numPr>
        <w:spacing w:before="100" w:beforeAutospacing="1" w:after="100" w:afterAutospacing="1"/>
        <w:rPr>
          <w:rFonts w:ascii="Times New Roman" w:eastAsia="Times New Roman" w:hAnsi="Times New Roman" w:cs="Times New Roman"/>
          <w:color w:val="000000"/>
          <w:lang w:eastAsia="pt-BR"/>
        </w:rPr>
      </w:pPr>
      <w:r w:rsidRPr="000E4AFF">
        <w:rPr>
          <w:rFonts w:ascii="Times New Roman" w:eastAsia="Times New Roman" w:hAnsi="Times New Roman" w:cs="Times New Roman"/>
          <w:color w:val="000000"/>
          <w:lang w:val="en-US" w:eastAsia="pt-BR"/>
        </w:rPr>
        <w:t xml:space="preserve">Pueschel SM, Scola FH. Atlantoaxial instability in individuals with Down syndrome: epidemiologic, radiographic, and clinical studies. </w:t>
      </w:r>
      <w:r w:rsidRPr="000E4AFF">
        <w:rPr>
          <w:rFonts w:ascii="Times New Roman" w:eastAsia="Times New Roman" w:hAnsi="Times New Roman" w:cs="Times New Roman"/>
          <w:color w:val="000000"/>
          <w:lang w:eastAsia="pt-BR"/>
        </w:rPr>
        <w:t>Pediatrics. 1987;80(4):555-60. PMID:2958770.</w:t>
      </w:r>
    </w:p>
    <w:p w14:paraId="63696A51" w14:textId="77777777" w:rsidR="000E4AFF" w:rsidRPr="000E4AFF" w:rsidRDefault="000E4AFF" w:rsidP="000E4AFF">
      <w:pPr>
        <w:numPr>
          <w:ilvl w:val="0"/>
          <w:numId w:val="2"/>
        </w:numPr>
        <w:spacing w:before="100" w:beforeAutospacing="1" w:after="100" w:afterAutospacing="1"/>
        <w:rPr>
          <w:rFonts w:ascii="Times New Roman" w:eastAsia="Times New Roman" w:hAnsi="Times New Roman" w:cs="Times New Roman"/>
          <w:color w:val="000000"/>
          <w:lang w:eastAsia="pt-BR"/>
        </w:rPr>
      </w:pPr>
      <w:r w:rsidRPr="000E4AFF">
        <w:rPr>
          <w:rFonts w:ascii="Times New Roman" w:eastAsia="Times New Roman" w:hAnsi="Times New Roman" w:cs="Times New Roman"/>
          <w:color w:val="000000"/>
          <w:lang w:eastAsia="pt-BR"/>
        </w:rPr>
        <w:t xml:space="preserve">Ruiz-Picazo D, Díez-Ulloa MA. Inestabilidad occipitocervical en la enfermedad de Morquio. </w:t>
      </w:r>
      <w:r w:rsidRPr="000E4AFF">
        <w:rPr>
          <w:rFonts w:ascii="Times New Roman" w:eastAsia="Times New Roman" w:hAnsi="Times New Roman" w:cs="Times New Roman"/>
          <w:color w:val="000000"/>
          <w:lang w:val="en-US" w:eastAsia="pt-BR"/>
        </w:rPr>
        <w:t xml:space="preserve">Presentación de 2 casos y revisión de la literatura [Occipital-cervical instability in Morquio disease: a presentation of 2 cases and a review of the literature]. </w:t>
      </w:r>
      <w:r w:rsidRPr="000E4AFF">
        <w:rPr>
          <w:rFonts w:ascii="Times New Roman" w:eastAsia="Times New Roman" w:hAnsi="Times New Roman" w:cs="Times New Roman"/>
          <w:color w:val="000000"/>
          <w:lang w:eastAsia="pt-BR"/>
        </w:rPr>
        <w:t>Rev Esp Cir Ortop Traumatol. 2014;58(6):387-94. Spanish. doi:10.1016/j.recot.2014.03.006.</w:t>
      </w:r>
    </w:p>
    <w:p w14:paraId="5E20979D" w14:textId="77777777" w:rsidR="000E4AFF" w:rsidRPr="000E4AFF" w:rsidRDefault="000E4AFF" w:rsidP="000E4AFF">
      <w:pPr>
        <w:numPr>
          <w:ilvl w:val="0"/>
          <w:numId w:val="2"/>
        </w:numPr>
        <w:spacing w:before="100" w:beforeAutospacing="1" w:after="100" w:afterAutospacing="1"/>
        <w:rPr>
          <w:rFonts w:ascii="Times New Roman" w:eastAsia="Times New Roman" w:hAnsi="Times New Roman" w:cs="Times New Roman"/>
          <w:color w:val="000000"/>
          <w:lang w:val="en-US" w:eastAsia="pt-BR"/>
        </w:rPr>
      </w:pPr>
      <w:r w:rsidRPr="000E4AFF">
        <w:rPr>
          <w:rFonts w:ascii="Times New Roman" w:eastAsia="Times New Roman" w:hAnsi="Times New Roman" w:cs="Times New Roman"/>
          <w:color w:val="000000"/>
          <w:lang w:val="en-US" w:eastAsia="pt-BR"/>
        </w:rPr>
        <w:t>Haller G, Alvarado DM, Willing MC, Braverman AC, Bridwell KH, Kelly M, et al. Genetic risk for aortic aneurysm in adolescent idiopathic scoliosis. J Bone Joint Surg Am. 2015;97(17):1411-7. doi:10.2106/JBJS.O.00290.</w:t>
      </w:r>
    </w:p>
    <w:p w14:paraId="23655B59" w14:textId="77777777" w:rsidR="000E4AFF" w:rsidRPr="000E4AFF" w:rsidRDefault="000E4AFF" w:rsidP="000E4AFF">
      <w:pPr>
        <w:numPr>
          <w:ilvl w:val="0"/>
          <w:numId w:val="2"/>
        </w:numPr>
        <w:spacing w:before="100" w:beforeAutospacing="1" w:after="100" w:afterAutospacing="1"/>
        <w:rPr>
          <w:rFonts w:ascii="Times New Roman" w:eastAsia="Times New Roman" w:hAnsi="Times New Roman" w:cs="Times New Roman"/>
          <w:color w:val="000000"/>
          <w:lang w:eastAsia="pt-BR"/>
        </w:rPr>
      </w:pPr>
      <w:r w:rsidRPr="000E4AFF">
        <w:rPr>
          <w:rFonts w:ascii="Times New Roman" w:eastAsia="Times New Roman" w:hAnsi="Times New Roman" w:cs="Times New Roman"/>
          <w:color w:val="000000"/>
          <w:lang w:val="en-US" w:eastAsia="pt-BR"/>
        </w:rPr>
        <w:t xml:space="preserve">Tsiligiannis T, Grivas T. Pulmonary function in children with idiopathic scoliosis. </w:t>
      </w:r>
      <w:r w:rsidRPr="000E4AFF">
        <w:rPr>
          <w:rFonts w:ascii="Times New Roman" w:eastAsia="Times New Roman" w:hAnsi="Times New Roman" w:cs="Times New Roman"/>
          <w:color w:val="000000"/>
          <w:lang w:eastAsia="pt-BR"/>
        </w:rPr>
        <w:t>Scoliosis. 2012;7(1):7. doi:10.1186/1748-7161-7-7.</w:t>
      </w:r>
    </w:p>
    <w:p w14:paraId="026E1BBC" w14:textId="77777777" w:rsidR="000E4AFF" w:rsidRPr="000E4AFF" w:rsidRDefault="000E4AFF" w:rsidP="000E4AFF">
      <w:pPr>
        <w:numPr>
          <w:ilvl w:val="0"/>
          <w:numId w:val="2"/>
        </w:numPr>
        <w:spacing w:before="100" w:beforeAutospacing="1" w:after="100" w:afterAutospacing="1"/>
        <w:rPr>
          <w:rFonts w:ascii="Times New Roman" w:eastAsia="Times New Roman" w:hAnsi="Times New Roman" w:cs="Times New Roman"/>
          <w:color w:val="000000"/>
          <w:lang w:eastAsia="pt-BR"/>
        </w:rPr>
      </w:pPr>
      <w:r w:rsidRPr="000E4AFF">
        <w:rPr>
          <w:rFonts w:ascii="Times New Roman" w:eastAsia="Times New Roman" w:hAnsi="Times New Roman" w:cs="Times New Roman"/>
          <w:color w:val="000000"/>
          <w:lang w:val="en-US" w:eastAsia="pt-BR"/>
        </w:rPr>
        <w:t xml:space="preserve">Koptan W, ElMiligui Y. Surgical correction of severe dystrophic neurofibromatosis scoliosis: an experience of 32 cases. </w:t>
      </w:r>
      <w:r w:rsidRPr="000E4AFF">
        <w:rPr>
          <w:rFonts w:ascii="Times New Roman" w:eastAsia="Times New Roman" w:hAnsi="Times New Roman" w:cs="Times New Roman"/>
          <w:color w:val="000000"/>
          <w:lang w:eastAsia="pt-BR"/>
        </w:rPr>
        <w:t>Eur Spine J. 2010;19(9):1569-75. doi:10.1007/s00586-010-1464-0.</w:t>
      </w:r>
    </w:p>
    <w:p w14:paraId="552AA9D4" w14:textId="77777777" w:rsidR="000E4AFF" w:rsidRPr="000E4AFF" w:rsidRDefault="000E4AFF" w:rsidP="000E4AFF">
      <w:pPr>
        <w:numPr>
          <w:ilvl w:val="0"/>
          <w:numId w:val="2"/>
        </w:numPr>
        <w:spacing w:before="100" w:beforeAutospacing="1" w:after="100" w:afterAutospacing="1"/>
        <w:rPr>
          <w:rFonts w:ascii="Times New Roman" w:eastAsia="Times New Roman" w:hAnsi="Times New Roman" w:cs="Times New Roman"/>
          <w:color w:val="000000"/>
          <w:lang w:eastAsia="pt-BR"/>
        </w:rPr>
      </w:pPr>
      <w:r w:rsidRPr="000E4AFF">
        <w:rPr>
          <w:rFonts w:ascii="Times New Roman" w:eastAsia="Times New Roman" w:hAnsi="Times New Roman" w:cs="Times New Roman"/>
          <w:color w:val="000000"/>
          <w:lang w:val="en-US" w:eastAsia="pt-BR"/>
        </w:rPr>
        <w:t xml:space="preserve">Akbarnia BA, et al. Early-onset spinal deformity in neurofibromatosis type 1: diagnosis and treatment. </w:t>
      </w:r>
      <w:r w:rsidRPr="000E4AFF">
        <w:rPr>
          <w:rFonts w:ascii="Times New Roman" w:eastAsia="Times New Roman" w:hAnsi="Times New Roman" w:cs="Times New Roman"/>
          <w:color w:val="000000"/>
          <w:lang w:eastAsia="pt-BR"/>
        </w:rPr>
        <w:t>JBJS Rev. 2021;9(7):e20.00285.</w:t>
      </w:r>
    </w:p>
    <w:p w14:paraId="60C1FC23" w14:textId="77777777" w:rsidR="000E4AFF" w:rsidRPr="000E4AFF" w:rsidRDefault="000E4AFF" w:rsidP="000E4AFF">
      <w:pPr>
        <w:numPr>
          <w:ilvl w:val="0"/>
          <w:numId w:val="2"/>
        </w:numPr>
        <w:spacing w:before="100" w:beforeAutospacing="1" w:after="100" w:afterAutospacing="1"/>
        <w:rPr>
          <w:rFonts w:ascii="Times New Roman" w:eastAsia="Times New Roman" w:hAnsi="Times New Roman" w:cs="Times New Roman"/>
          <w:color w:val="000000"/>
          <w:lang w:eastAsia="pt-BR"/>
        </w:rPr>
      </w:pPr>
      <w:r w:rsidRPr="000E4AFF">
        <w:rPr>
          <w:rFonts w:ascii="Times New Roman" w:eastAsia="Times New Roman" w:hAnsi="Times New Roman" w:cs="Times New Roman"/>
          <w:color w:val="000000"/>
          <w:lang w:val="en-US" w:eastAsia="pt-BR"/>
        </w:rPr>
        <w:t xml:space="preserve">Sponseller PD, Bhimani M, Solacoff D, Dormans JP. Results of brace treatment of scoliosis in Marfan syndrome. </w:t>
      </w:r>
      <w:r w:rsidRPr="000E4AFF">
        <w:rPr>
          <w:rFonts w:ascii="Times New Roman" w:eastAsia="Times New Roman" w:hAnsi="Times New Roman" w:cs="Times New Roman"/>
          <w:color w:val="000000"/>
          <w:lang w:eastAsia="pt-BR"/>
        </w:rPr>
        <w:t>Spine (Phila Pa 1976). 2000;25(18):2350-4. doi:10.1097/00007632-200009150-00013.</w:t>
      </w:r>
    </w:p>
    <w:p w14:paraId="0CF2BE8F" w14:textId="77777777" w:rsidR="000E4AFF" w:rsidRPr="000E4AFF" w:rsidRDefault="000E4AFF" w:rsidP="000E4AFF">
      <w:pPr>
        <w:numPr>
          <w:ilvl w:val="0"/>
          <w:numId w:val="2"/>
        </w:numPr>
        <w:spacing w:before="100" w:beforeAutospacing="1" w:after="100" w:afterAutospacing="1"/>
        <w:rPr>
          <w:rFonts w:ascii="Times New Roman" w:eastAsia="Times New Roman" w:hAnsi="Times New Roman" w:cs="Times New Roman"/>
          <w:color w:val="000000"/>
          <w:lang w:eastAsia="pt-BR"/>
        </w:rPr>
      </w:pPr>
      <w:r w:rsidRPr="000E4AFF">
        <w:rPr>
          <w:rFonts w:ascii="Times New Roman" w:eastAsia="Times New Roman" w:hAnsi="Times New Roman" w:cs="Times New Roman"/>
          <w:color w:val="000000"/>
          <w:lang w:val="en-US" w:eastAsia="pt-BR"/>
        </w:rPr>
        <w:t xml:space="preserve">Di Silvestre M, Greggi T, Giacomini S, Cioni A, Bakaloudis G, Lolli F, et al. Surgical treatment for scoliosis in Marfan syndrome. </w:t>
      </w:r>
      <w:r w:rsidRPr="000E4AFF">
        <w:rPr>
          <w:rFonts w:ascii="Times New Roman" w:eastAsia="Times New Roman" w:hAnsi="Times New Roman" w:cs="Times New Roman"/>
          <w:color w:val="000000"/>
          <w:lang w:eastAsia="pt-BR"/>
        </w:rPr>
        <w:t>Spine (Phila Pa 1976). 2005;30(20):E597-604. doi:10.1097/01.brs.0000182317.33700.08.</w:t>
      </w:r>
    </w:p>
    <w:p w14:paraId="57852061" w14:textId="77777777" w:rsidR="000E4AFF" w:rsidRPr="000E4AFF" w:rsidRDefault="000E4AFF" w:rsidP="000E4AFF">
      <w:pPr>
        <w:numPr>
          <w:ilvl w:val="0"/>
          <w:numId w:val="2"/>
        </w:numPr>
        <w:spacing w:before="100" w:beforeAutospacing="1" w:after="100" w:afterAutospacing="1"/>
        <w:rPr>
          <w:rFonts w:ascii="Times New Roman" w:eastAsia="Times New Roman" w:hAnsi="Times New Roman" w:cs="Times New Roman"/>
          <w:color w:val="000000"/>
          <w:lang w:eastAsia="pt-BR"/>
        </w:rPr>
      </w:pPr>
      <w:r w:rsidRPr="000E4AFF">
        <w:rPr>
          <w:rFonts w:ascii="Times New Roman" w:eastAsia="Times New Roman" w:hAnsi="Times New Roman" w:cs="Times New Roman"/>
          <w:color w:val="000000"/>
          <w:lang w:val="en-US" w:eastAsia="pt-BR"/>
        </w:rPr>
        <w:t xml:space="preserve">Lipton GE, Guille JT, Kumar SJ. Surgical treatment of scoliosis in Marfan syndrome: guidelines for a successful outcome. </w:t>
      </w:r>
      <w:r w:rsidRPr="000E4AFF">
        <w:rPr>
          <w:rFonts w:ascii="Times New Roman" w:eastAsia="Times New Roman" w:hAnsi="Times New Roman" w:cs="Times New Roman"/>
          <w:color w:val="000000"/>
          <w:lang w:eastAsia="pt-BR"/>
        </w:rPr>
        <w:t>J Pediatr Orthop. 2002;22(3):302-7. PMID:11961443.</w:t>
      </w:r>
    </w:p>
    <w:p w14:paraId="29381E6E" w14:textId="77777777" w:rsidR="000E4AFF" w:rsidRPr="000E4AFF" w:rsidRDefault="000E4AFF" w:rsidP="000E4AFF">
      <w:pPr>
        <w:numPr>
          <w:ilvl w:val="0"/>
          <w:numId w:val="2"/>
        </w:numPr>
        <w:spacing w:before="100" w:beforeAutospacing="1" w:after="100" w:afterAutospacing="1"/>
        <w:rPr>
          <w:rFonts w:ascii="Times New Roman" w:eastAsia="Times New Roman" w:hAnsi="Times New Roman" w:cs="Times New Roman"/>
          <w:color w:val="000000"/>
          <w:lang w:eastAsia="pt-BR"/>
        </w:rPr>
      </w:pPr>
      <w:r w:rsidRPr="000E4AFF">
        <w:rPr>
          <w:rFonts w:ascii="Times New Roman" w:eastAsia="Times New Roman" w:hAnsi="Times New Roman" w:cs="Times New Roman"/>
          <w:color w:val="000000"/>
          <w:lang w:val="en-US" w:eastAsia="pt-BR"/>
        </w:rPr>
        <w:lastRenderedPageBreak/>
        <w:t xml:space="preserve">Milbrandt TA, Johnston CE 2nd. Down syndrome and scoliosis: a review of a 50-year experience at one institution. </w:t>
      </w:r>
      <w:r w:rsidRPr="000E4AFF">
        <w:rPr>
          <w:rFonts w:ascii="Times New Roman" w:eastAsia="Times New Roman" w:hAnsi="Times New Roman" w:cs="Times New Roman"/>
          <w:color w:val="000000"/>
          <w:lang w:eastAsia="pt-BR"/>
        </w:rPr>
        <w:t>Spine (Phila Pa 1976). 2005;30(18):2051-5. doi:10.1097/01.brs.0000179100.54453.72.</w:t>
      </w:r>
    </w:p>
    <w:p w14:paraId="68F418BB" w14:textId="77777777" w:rsidR="000E4AFF" w:rsidRPr="000E4AFF" w:rsidRDefault="000E4AFF" w:rsidP="000E4AFF">
      <w:pPr>
        <w:numPr>
          <w:ilvl w:val="0"/>
          <w:numId w:val="2"/>
        </w:numPr>
        <w:spacing w:before="100" w:beforeAutospacing="1" w:after="100" w:afterAutospacing="1"/>
        <w:rPr>
          <w:rFonts w:ascii="Times New Roman" w:eastAsia="Times New Roman" w:hAnsi="Times New Roman" w:cs="Times New Roman"/>
          <w:color w:val="000000"/>
          <w:lang w:eastAsia="pt-BR"/>
        </w:rPr>
      </w:pPr>
      <w:r w:rsidRPr="000E4AFF">
        <w:rPr>
          <w:rFonts w:ascii="Times New Roman" w:eastAsia="Times New Roman" w:hAnsi="Times New Roman" w:cs="Times New Roman"/>
          <w:color w:val="000000"/>
          <w:lang w:val="en-US" w:eastAsia="pt-BR"/>
        </w:rPr>
        <w:t xml:space="preserve">Lerman JA, Emans JB, Hall JE, Karlin LI. Spinal arthrodesis for scoliosis in Down syndrome. </w:t>
      </w:r>
      <w:r w:rsidRPr="000E4AFF">
        <w:rPr>
          <w:rFonts w:ascii="Times New Roman" w:eastAsia="Times New Roman" w:hAnsi="Times New Roman" w:cs="Times New Roman"/>
          <w:color w:val="000000"/>
          <w:lang w:eastAsia="pt-BR"/>
        </w:rPr>
        <w:t>J Pediatr Orthop. 2003;23(2):159-61. PMID:12604943.</w:t>
      </w:r>
    </w:p>
    <w:p w14:paraId="7765B5AA" w14:textId="77777777" w:rsidR="000E4AFF" w:rsidRPr="000E4AFF" w:rsidRDefault="000E4AFF" w:rsidP="000E4AFF">
      <w:pPr>
        <w:numPr>
          <w:ilvl w:val="0"/>
          <w:numId w:val="2"/>
        </w:numPr>
        <w:spacing w:before="100" w:beforeAutospacing="1" w:after="100" w:afterAutospacing="1"/>
        <w:rPr>
          <w:rFonts w:ascii="Times New Roman" w:eastAsia="Times New Roman" w:hAnsi="Times New Roman" w:cs="Times New Roman"/>
          <w:color w:val="000000"/>
          <w:lang w:eastAsia="pt-BR"/>
        </w:rPr>
      </w:pPr>
      <w:r w:rsidRPr="000E4AFF">
        <w:rPr>
          <w:rFonts w:ascii="Times New Roman" w:eastAsia="Times New Roman" w:hAnsi="Times New Roman" w:cs="Times New Roman"/>
          <w:color w:val="000000"/>
          <w:lang w:val="en-US" w:eastAsia="pt-BR"/>
        </w:rPr>
        <w:t xml:space="preserve">Jasiewicz B, Potaczek T, Tesiorowski M, Lokas K. Spine deformities in patients with Ehlers-Danlos syndrome, type IV - late results of surgical treatment. </w:t>
      </w:r>
      <w:r w:rsidRPr="000E4AFF">
        <w:rPr>
          <w:rFonts w:ascii="Times New Roman" w:eastAsia="Times New Roman" w:hAnsi="Times New Roman" w:cs="Times New Roman"/>
          <w:color w:val="000000"/>
          <w:lang w:eastAsia="pt-BR"/>
        </w:rPr>
        <w:t xml:space="preserve">Scoliosis. </w:t>
      </w:r>
      <w:proofErr w:type="gramStart"/>
      <w:r w:rsidRPr="000E4AFF">
        <w:rPr>
          <w:rFonts w:ascii="Times New Roman" w:eastAsia="Times New Roman" w:hAnsi="Times New Roman" w:cs="Times New Roman"/>
          <w:color w:val="000000"/>
          <w:lang w:eastAsia="pt-BR"/>
        </w:rPr>
        <w:t>2010;5:26</w:t>
      </w:r>
      <w:proofErr w:type="gramEnd"/>
      <w:r w:rsidRPr="000E4AFF">
        <w:rPr>
          <w:rFonts w:ascii="Times New Roman" w:eastAsia="Times New Roman" w:hAnsi="Times New Roman" w:cs="Times New Roman"/>
          <w:color w:val="000000"/>
          <w:lang w:eastAsia="pt-BR"/>
        </w:rPr>
        <w:t>. doi:10.1186/1748-7161-5-26.</w:t>
      </w:r>
    </w:p>
    <w:p w14:paraId="13F74501" w14:textId="77777777" w:rsidR="000E4AFF" w:rsidRPr="000E4AFF" w:rsidRDefault="000E4AFF" w:rsidP="000E4AFF">
      <w:pPr>
        <w:numPr>
          <w:ilvl w:val="0"/>
          <w:numId w:val="2"/>
        </w:numPr>
        <w:spacing w:before="100" w:beforeAutospacing="1" w:after="100" w:afterAutospacing="1"/>
        <w:rPr>
          <w:rFonts w:ascii="Times New Roman" w:eastAsia="Times New Roman" w:hAnsi="Times New Roman" w:cs="Times New Roman"/>
          <w:color w:val="000000"/>
          <w:lang w:eastAsia="pt-BR"/>
        </w:rPr>
      </w:pPr>
      <w:r w:rsidRPr="000E4AFF">
        <w:rPr>
          <w:rFonts w:ascii="Times New Roman" w:eastAsia="Times New Roman" w:hAnsi="Times New Roman" w:cs="Times New Roman"/>
          <w:color w:val="000000"/>
          <w:lang w:val="en-US" w:eastAsia="pt-BR"/>
        </w:rPr>
        <w:t xml:space="preserve">Gabos PG, Inan M, Thacker M, Borkhu B. Spinal fusion for scoliosis in Rett syndrome with an emphasis on early postoperative complications. </w:t>
      </w:r>
      <w:r w:rsidRPr="000E4AFF">
        <w:rPr>
          <w:rFonts w:ascii="Times New Roman" w:eastAsia="Times New Roman" w:hAnsi="Times New Roman" w:cs="Times New Roman"/>
          <w:color w:val="000000"/>
          <w:lang w:eastAsia="pt-BR"/>
        </w:rPr>
        <w:t>Spine (Phila Pa 1976). 2012;37(2):E90-4. doi:10.1097/BRS.0b013e3182404698.</w:t>
      </w:r>
    </w:p>
    <w:p w14:paraId="101EEFCA" w14:textId="77777777" w:rsidR="000E4AFF" w:rsidRPr="000E4AFF" w:rsidRDefault="000E4AFF" w:rsidP="000E4AFF">
      <w:pPr>
        <w:numPr>
          <w:ilvl w:val="0"/>
          <w:numId w:val="2"/>
        </w:numPr>
        <w:spacing w:before="100" w:beforeAutospacing="1" w:after="100" w:afterAutospacing="1"/>
        <w:rPr>
          <w:rFonts w:ascii="Times New Roman" w:eastAsia="Times New Roman" w:hAnsi="Times New Roman" w:cs="Times New Roman"/>
          <w:color w:val="000000"/>
          <w:lang w:eastAsia="pt-BR"/>
        </w:rPr>
      </w:pPr>
      <w:r w:rsidRPr="000E4AFF">
        <w:rPr>
          <w:rFonts w:ascii="Times New Roman" w:eastAsia="Times New Roman" w:hAnsi="Times New Roman" w:cs="Times New Roman"/>
          <w:color w:val="000000"/>
          <w:lang w:val="en-US" w:eastAsia="pt-BR"/>
        </w:rPr>
        <w:t xml:space="preserve">Accadbled F, Odent T, Moine A, Chau E, Glorion C, Diene G, et al. Complications of scoliosis surgery in Prader-Willi syndrome. Spine (Phila Pa 1976). </w:t>
      </w:r>
      <w:r w:rsidRPr="000E4AFF">
        <w:rPr>
          <w:rFonts w:ascii="Times New Roman" w:eastAsia="Times New Roman" w:hAnsi="Times New Roman" w:cs="Times New Roman"/>
          <w:color w:val="000000"/>
          <w:lang w:eastAsia="pt-BR"/>
        </w:rPr>
        <w:t>2008;33(4):394-401. doi:10.1097/BRS.0b013e318163fa24.</w:t>
      </w:r>
    </w:p>
    <w:p w14:paraId="6AB05813" w14:textId="77777777" w:rsidR="000E4AFF" w:rsidRPr="000E4AFF" w:rsidRDefault="0050321C" w:rsidP="000E4AFF">
      <w:pPr>
        <w:rPr>
          <w:rFonts w:ascii="Times New Roman" w:eastAsia="Times New Roman" w:hAnsi="Times New Roman" w:cs="Times New Roman"/>
          <w:lang w:eastAsia="pt-BR"/>
        </w:rPr>
      </w:pPr>
      <w:r w:rsidRPr="000E4AFF">
        <w:rPr>
          <w:rFonts w:ascii="Times New Roman" w:eastAsia="Times New Roman" w:hAnsi="Times New Roman" w:cs="Times New Roman"/>
          <w:noProof/>
          <w:lang w:eastAsia="pt-BR"/>
        </w:rPr>
        <w:pict w14:anchorId="3BFC87F4">
          <v:rect id="_x0000_i1025" alt="" style="width:424.75pt;height:.05pt;mso-width-percent:0;mso-height-percent:0;mso-width-percent:0;mso-height-percent:0" o:hrpct="999" o:hralign="center" o:hrstd="t" o:hr="t" fillcolor="#a0a0a0" stroked="f"/>
        </w:pict>
      </w:r>
    </w:p>
    <w:p w14:paraId="0A2FCAAA" w14:textId="77777777" w:rsidR="000E4AFF" w:rsidRPr="000E4AFF" w:rsidRDefault="000E4AFF" w:rsidP="000E4AFF">
      <w:pPr>
        <w:spacing w:before="100" w:beforeAutospacing="1" w:after="100" w:afterAutospacing="1"/>
        <w:outlineLvl w:val="0"/>
        <w:rPr>
          <w:rFonts w:ascii="Times New Roman" w:eastAsia="Times New Roman" w:hAnsi="Times New Roman" w:cs="Times New Roman"/>
          <w:b/>
          <w:bCs/>
          <w:color w:val="000000"/>
          <w:kern w:val="36"/>
          <w:sz w:val="48"/>
          <w:szCs w:val="48"/>
          <w:lang w:eastAsia="pt-BR"/>
        </w:rPr>
      </w:pPr>
      <w:r w:rsidRPr="000E4AFF">
        <w:rPr>
          <w:rFonts w:ascii="Times New Roman" w:eastAsia="Times New Roman" w:hAnsi="Times New Roman" w:cs="Times New Roman"/>
          <w:b/>
          <w:bCs/>
          <w:color w:val="000000"/>
          <w:kern w:val="36"/>
          <w:sz w:val="48"/>
          <w:szCs w:val="48"/>
          <w:lang w:eastAsia="pt-BR"/>
        </w:rPr>
        <w:t>Metadados para publicação</w:t>
      </w:r>
    </w:p>
    <w:p w14:paraId="667E959A" w14:textId="77777777" w:rsidR="000E4AFF" w:rsidRPr="000E4AFF" w:rsidRDefault="000E4AFF" w:rsidP="000E4AFF">
      <w:pPr>
        <w:spacing w:before="100" w:beforeAutospacing="1" w:after="100" w:afterAutospacing="1"/>
        <w:rPr>
          <w:rFonts w:ascii="Times New Roman" w:eastAsia="Times New Roman" w:hAnsi="Times New Roman" w:cs="Times New Roman"/>
          <w:color w:val="000000"/>
          <w:lang w:eastAsia="pt-BR"/>
        </w:rPr>
      </w:pPr>
      <w:r w:rsidRPr="000E4AFF">
        <w:rPr>
          <w:rFonts w:ascii="Times New Roman" w:eastAsia="Times New Roman" w:hAnsi="Times New Roman" w:cs="Times New Roman"/>
          <w:b/>
          <w:bCs/>
          <w:color w:val="000000"/>
          <w:lang w:eastAsia="pt-BR"/>
        </w:rPr>
        <w:t>Título SEO:</w:t>
      </w:r>
      <w:r w:rsidRPr="000E4AFF">
        <w:rPr>
          <w:rFonts w:ascii="Times New Roman" w:eastAsia="Times New Roman" w:hAnsi="Times New Roman" w:cs="Times New Roman"/>
          <w:color w:val="000000"/>
          <w:lang w:eastAsia="pt-BR"/>
        </w:rPr>
        <w:t> Escoliose nas síndromes genéticas | Tratado</w:t>
      </w:r>
    </w:p>
    <w:p w14:paraId="213E177A" w14:textId="77777777" w:rsidR="000E4AFF" w:rsidRPr="000E4AFF" w:rsidRDefault="000E4AFF" w:rsidP="000E4AFF">
      <w:pPr>
        <w:spacing w:before="100" w:beforeAutospacing="1" w:after="100" w:afterAutospacing="1"/>
        <w:rPr>
          <w:rFonts w:ascii="Times New Roman" w:eastAsia="Times New Roman" w:hAnsi="Times New Roman" w:cs="Times New Roman"/>
          <w:color w:val="000000"/>
          <w:lang w:eastAsia="pt-BR"/>
        </w:rPr>
      </w:pPr>
      <w:r w:rsidRPr="000E4AFF">
        <w:rPr>
          <w:rFonts w:ascii="Times New Roman" w:eastAsia="Times New Roman" w:hAnsi="Times New Roman" w:cs="Times New Roman"/>
          <w:b/>
          <w:bCs/>
          <w:color w:val="000000"/>
          <w:lang w:eastAsia="pt-BR"/>
        </w:rPr>
        <w:t>Meta descrição:</w:t>
      </w:r>
      <w:r w:rsidRPr="000E4AFF">
        <w:rPr>
          <w:rFonts w:ascii="Times New Roman" w:eastAsia="Times New Roman" w:hAnsi="Times New Roman" w:cs="Times New Roman"/>
          <w:color w:val="000000"/>
          <w:lang w:eastAsia="pt-BR"/>
        </w:rPr>
        <w:t> Escoliose sindrômica: mecanismos, sinais clínicos, neuroeixo, comorbidades e princípios do tratamento conservador e cirúrgico individualizado.</w:t>
      </w:r>
    </w:p>
    <w:p w14:paraId="661777B0" w14:textId="77777777" w:rsidR="000E4AFF" w:rsidRPr="000E4AFF" w:rsidRDefault="000E4AFF" w:rsidP="000E4AFF">
      <w:pPr>
        <w:spacing w:before="100" w:beforeAutospacing="1" w:after="100" w:afterAutospacing="1"/>
        <w:rPr>
          <w:rFonts w:ascii="Times New Roman" w:eastAsia="Times New Roman" w:hAnsi="Times New Roman" w:cs="Times New Roman"/>
          <w:color w:val="000000"/>
          <w:lang w:eastAsia="pt-BR"/>
        </w:rPr>
      </w:pPr>
      <w:r w:rsidRPr="000E4AFF">
        <w:rPr>
          <w:rFonts w:ascii="Times New Roman" w:eastAsia="Times New Roman" w:hAnsi="Times New Roman" w:cs="Times New Roman"/>
          <w:b/>
          <w:bCs/>
          <w:color w:val="000000"/>
          <w:lang w:eastAsia="pt-BR"/>
        </w:rPr>
        <w:t>Resumo de chamada:</w:t>
      </w:r>
      <w:r w:rsidRPr="000E4AFF">
        <w:rPr>
          <w:rFonts w:ascii="Times New Roman" w:eastAsia="Times New Roman" w:hAnsi="Times New Roman" w:cs="Times New Roman"/>
          <w:color w:val="000000"/>
          <w:lang w:eastAsia="pt-BR"/>
        </w:rPr>
        <w:t> Abordagem da escoliose sindrômica integrando doença de base, sinais clínicos, neuroeixo, comorbidades e princípios do tratamento conservador e cirúrgico.</w:t>
      </w:r>
    </w:p>
    <w:p w14:paraId="2D578902" w14:textId="77777777" w:rsidR="000E4AFF" w:rsidRPr="000E4AFF" w:rsidRDefault="000E4AFF" w:rsidP="000E4AFF">
      <w:pPr>
        <w:spacing w:before="100" w:beforeAutospacing="1" w:after="100" w:afterAutospacing="1"/>
        <w:rPr>
          <w:rFonts w:ascii="Times New Roman" w:eastAsia="Times New Roman" w:hAnsi="Times New Roman" w:cs="Times New Roman"/>
          <w:color w:val="000000"/>
          <w:lang w:eastAsia="pt-BR"/>
        </w:rPr>
      </w:pPr>
      <w:r w:rsidRPr="000E4AFF">
        <w:rPr>
          <w:rFonts w:ascii="Times New Roman" w:eastAsia="Times New Roman" w:hAnsi="Times New Roman" w:cs="Times New Roman"/>
          <w:b/>
          <w:bCs/>
          <w:color w:val="000000"/>
          <w:lang w:eastAsia="pt-BR"/>
        </w:rPr>
        <w:t>Sugestão de slug:</w:t>
      </w:r>
      <w:r w:rsidRPr="000E4AFF">
        <w:rPr>
          <w:rFonts w:ascii="Times New Roman" w:eastAsia="Times New Roman" w:hAnsi="Times New Roman" w:cs="Times New Roman"/>
          <w:color w:val="000000"/>
          <w:lang w:eastAsia="pt-BR"/>
        </w:rPr>
        <w:t> </w:t>
      </w:r>
      <w:r w:rsidRPr="000E4AFF">
        <w:rPr>
          <w:rFonts w:ascii="Courier New" w:eastAsia="Times New Roman" w:hAnsi="Courier New" w:cs="Courier New"/>
          <w:color w:val="000000"/>
          <w:sz w:val="20"/>
          <w:szCs w:val="20"/>
          <w:lang w:eastAsia="pt-BR"/>
        </w:rPr>
        <w:t>escoliose-sindromes-geneticas</w:t>
      </w:r>
    </w:p>
    <w:p w14:paraId="4AC85839" w14:textId="77777777" w:rsidR="003C2187" w:rsidRDefault="00000000"/>
    <w:sectPr w:rsidR="003C2187" w:rsidSect="00461115">
      <w:pgSz w:w="11900" w:h="16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C191D07"/>
    <w:multiLevelType w:val="multilevel"/>
    <w:tmpl w:val="A3D4A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47A6F54"/>
    <w:multiLevelType w:val="multilevel"/>
    <w:tmpl w:val="54F0C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E5D7C8A"/>
    <w:multiLevelType w:val="multilevel"/>
    <w:tmpl w:val="2C24C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5091186">
    <w:abstractNumId w:val="1"/>
  </w:num>
  <w:num w:numId="2" w16cid:durableId="446658232">
    <w:abstractNumId w:val="0"/>
  </w:num>
  <w:num w:numId="3" w16cid:durableId="13957344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1"/>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4AFF"/>
    <w:rsid w:val="000D7E60"/>
    <w:rsid w:val="000E4AFF"/>
    <w:rsid w:val="002D732D"/>
    <w:rsid w:val="0045079E"/>
    <w:rsid w:val="00461115"/>
    <w:rsid w:val="0050321C"/>
    <w:rsid w:val="005E2B43"/>
    <w:rsid w:val="00602A1B"/>
    <w:rsid w:val="006B0FCD"/>
    <w:rsid w:val="006B691F"/>
    <w:rsid w:val="00743DED"/>
    <w:rsid w:val="007D0808"/>
    <w:rsid w:val="00821A1A"/>
    <w:rsid w:val="008A7C98"/>
    <w:rsid w:val="008B5D87"/>
    <w:rsid w:val="00A50355"/>
    <w:rsid w:val="00A96B78"/>
    <w:rsid w:val="00B702F2"/>
    <w:rsid w:val="00C20A44"/>
    <w:rsid w:val="00C62276"/>
    <w:rsid w:val="00D973F4"/>
    <w:rsid w:val="00E34133"/>
    <w:rsid w:val="00E8605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A3896"/>
  <w15:chartTrackingRefBased/>
  <w15:docId w15:val="{0E0217D0-95EA-8E4F-BDDC-F47650A96D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pt-B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har"/>
    <w:uiPriority w:val="9"/>
    <w:qFormat/>
    <w:rsid w:val="000E4AFF"/>
    <w:pPr>
      <w:spacing w:before="100" w:beforeAutospacing="1" w:after="100" w:afterAutospacing="1"/>
      <w:outlineLvl w:val="0"/>
    </w:pPr>
    <w:rPr>
      <w:rFonts w:ascii="Times New Roman" w:eastAsia="Times New Roman" w:hAnsi="Times New Roman" w:cs="Times New Roman"/>
      <w:b/>
      <w:bCs/>
      <w:kern w:val="36"/>
      <w:sz w:val="48"/>
      <w:szCs w:val="48"/>
      <w:lang w:eastAsia="pt-BR"/>
    </w:rPr>
  </w:style>
  <w:style w:type="paragraph" w:styleId="Ttulo2">
    <w:name w:val="heading 2"/>
    <w:basedOn w:val="Normal"/>
    <w:link w:val="Ttulo2Char"/>
    <w:uiPriority w:val="9"/>
    <w:qFormat/>
    <w:rsid w:val="000E4AFF"/>
    <w:pPr>
      <w:spacing w:before="100" w:beforeAutospacing="1" w:after="100" w:afterAutospacing="1"/>
      <w:outlineLvl w:val="1"/>
    </w:pPr>
    <w:rPr>
      <w:rFonts w:ascii="Times New Roman" w:eastAsia="Times New Roman" w:hAnsi="Times New Roman" w:cs="Times New Roman"/>
      <w:b/>
      <w:bCs/>
      <w:sz w:val="36"/>
      <w:szCs w:val="36"/>
      <w:lang w:eastAsia="pt-BR"/>
    </w:rPr>
  </w:style>
  <w:style w:type="paragraph" w:styleId="Ttulo3">
    <w:name w:val="heading 3"/>
    <w:basedOn w:val="Normal"/>
    <w:link w:val="Ttulo3Char"/>
    <w:uiPriority w:val="9"/>
    <w:qFormat/>
    <w:rsid w:val="000E4AFF"/>
    <w:pPr>
      <w:spacing w:before="100" w:beforeAutospacing="1" w:after="100" w:afterAutospacing="1"/>
      <w:outlineLvl w:val="2"/>
    </w:pPr>
    <w:rPr>
      <w:rFonts w:ascii="Times New Roman" w:eastAsia="Times New Roman" w:hAnsi="Times New Roman" w:cs="Times New Roman"/>
      <w:b/>
      <w:bCs/>
      <w:sz w:val="27"/>
      <w:szCs w:val="27"/>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0E4AFF"/>
    <w:rPr>
      <w:rFonts w:ascii="Times New Roman" w:eastAsia="Times New Roman" w:hAnsi="Times New Roman" w:cs="Times New Roman"/>
      <w:b/>
      <w:bCs/>
      <w:kern w:val="36"/>
      <w:sz w:val="48"/>
      <w:szCs w:val="48"/>
      <w:lang w:eastAsia="pt-BR"/>
    </w:rPr>
  </w:style>
  <w:style w:type="character" w:customStyle="1" w:styleId="Ttulo2Char">
    <w:name w:val="Título 2 Char"/>
    <w:basedOn w:val="Fontepargpadro"/>
    <w:link w:val="Ttulo2"/>
    <w:uiPriority w:val="9"/>
    <w:rsid w:val="000E4AFF"/>
    <w:rPr>
      <w:rFonts w:ascii="Times New Roman" w:eastAsia="Times New Roman" w:hAnsi="Times New Roman" w:cs="Times New Roman"/>
      <w:b/>
      <w:bCs/>
      <w:sz w:val="36"/>
      <w:szCs w:val="36"/>
      <w:lang w:eastAsia="pt-BR"/>
    </w:rPr>
  </w:style>
  <w:style w:type="character" w:customStyle="1" w:styleId="Ttulo3Char">
    <w:name w:val="Título 3 Char"/>
    <w:basedOn w:val="Fontepargpadro"/>
    <w:link w:val="Ttulo3"/>
    <w:uiPriority w:val="9"/>
    <w:rsid w:val="000E4AFF"/>
    <w:rPr>
      <w:rFonts w:ascii="Times New Roman" w:eastAsia="Times New Roman" w:hAnsi="Times New Roman" w:cs="Times New Roman"/>
      <w:b/>
      <w:bCs/>
      <w:sz w:val="27"/>
      <w:szCs w:val="27"/>
      <w:lang w:eastAsia="pt-BR"/>
    </w:rPr>
  </w:style>
  <w:style w:type="paragraph" w:styleId="NormalWeb">
    <w:name w:val="Normal (Web)"/>
    <w:basedOn w:val="Normal"/>
    <w:uiPriority w:val="99"/>
    <w:semiHidden/>
    <w:unhideWhenUsed/>
    <w:rsid w:val="000E4AFF"/>
    <w:pPr>
      <w:spacing w:before="100" w:beforeAutospacing="1" w:after="100" w:afterAutospacing="1"/>
    </w:pPr>
    <w:rPr>
      <w:rFonts w:ascii="Times New Roman" w:eastAsia="Times New Roman" w:hAnsi="Times New Roman" w:cs="Times New Roman"/>
      <w:lang w:eastAsia="pt-BR"/>
    </w:rPr>
  </w:style>
  <w:style w:type="character" w:styleId="Forte">
    <w:name w:val="Strong"/>
    <w:basedOn w:val="Fontepargpadro"/>
    <w:uiPriority w:val="22"/>
    <w:qFormat/>
    <w:rsid w:val="000E4AFF"/>
    <w:rPr>
      <w:b/>
      <w:bCs/>
    </w:rPr>
  </w:style>
  <w:style w:type="character" w:customStyle="1" w:styleId="apple-converted-space">
    <w:name w:val="apple-converted-space"/>
    <w:basedOn w:val="Fontepargpadro"/>
    <w:rsid w:val="000E4AFF"/>
  </w:style>
  <w:style w:type="character" w:styleId="Hyperlink">
    <w:name w:val="Hyperlink"/>
    <w:basedOn w:val="Fontepargpadro"/>
    <w:uiPriority w:val="99"/>
    <w:semiHidden/>
    <w:unhideWhenUsed/>
    <w:rsid w:val="000E4AFF"/>
    <w:rPr>
      <w:color w:val="0000FF"/>
      <w:u w:val="single"/>
    </w:rPr>
  </w:style>
  <w:style w:type="character" w:styleId="CdigoHTML">
    <w:name w:val="HTML Code"/>
    <w:basedOn w:val="Fontepargpadro"/>
    <w:uiPriority w:val="99"/>
    <w:semiHidden/>
    <w:unhideWhenUsed/>
    <w:rsid w:val="000E4AF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8706857">
      <w:bodyDiv w:val="1"/>
      <w:marLeft w:val="0"/>
      <w:marRight w:val="0"/>
      <w:marTop w:val="0"/>
      <w:marBottom w:val="0"/>
      <w:divBdr>
        <w:top w:val="none" w:sz="0" w:space="0" w:color="auto"/>
        <w:left w:val="none" w:sz="0" w:space="0" w:color="auto"/>
        <w:bottom w:val="none" w:sz="0" w:space="0" w:color="auto"/>
        <w:right w:val="none" w:sz="0" w:space="0" w:color="auto"/>
      </w:divBdr>
      <w:divsChild>
        <w:div w:id="10670686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2341</Words>
  <Characters>12643</Characters>
  <Application>Microsoft Office Word</Application>
  <DocSecurity>0</DocSecurity>
  <Lines>105</Lines>
  <Paragraphs>29</Paragraphs>
  <ScaleCrop>false</ScaleCrop>
  <Company/>
  <LinksUpToDate>false</LinksUpToDate>
  <CharactersWithSpaces>14955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Marcelo Risso</dc:creator>
  <cp:keywords/>
  <dc:description/>
  <cp:lastModifiedBy>Marcelo Risso</cp:lastModifiedBy>
  <cp:revision>1</cp:revision>
  <dcterms:created xsi:type="dcterms:W3CDTF">2026-08-21T02:57:00Z</dcterms:created>
  <dcterms:modified xsi:type="dcterms:W3CDTF">2026-08-21T02:58:00Z</dcterms:modified>
</cp:coreProperties>
</file>