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ED83" w14:textId="77777777" w:rsidR="009B532E" w:rsidRPr="009B532E" w:rsidRDefault="009B532E" w:rsidP="009B53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38 — Espondilolistese na Criança</w:t>
      </w:r>
    </w:p>
    <w:p w14:paraId="42E7A450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4B97764A" w14:textId="77F2BA0F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38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Espondilolistese na Criança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4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0CA1DDF0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38CBE6A0" w14:textId="77777777" w:rsidR="009B532E" w:rsidRPr="009B532E" w:rsidRDefault="009B532E" w:rsidP="009B53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André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Luis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Fernandes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Andujar</w:t>
      </w:r>
      <w:proofErr w:type="spellEnd"/>
    </w:p>
    <w:p w14:paraId="015B68F0" w14:textId="77777777" w:rsidR="009B532E" w:rsidRPr="009B532E" w:rsidRDefault="009B532E" w:rsidP="009B53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Rodrigo dos Santos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Grandini</w:t>
      </w:r>
      <w:proofErr w:type="spellEnd"/>
    </w:p>
    <w:p w14:paraId="2AD56660" w14:textId="77777777" w:rsidR="009B532E" w:rsidRPr="009B532E" w:rsidRDefault="009B532E" w:rsidP="009B53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Henrique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Dagostin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de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Arjona</w:t>
      </w:r>
      <w:proofErr w:type="spellEnd"/>
    </w:p>
    <w:p w14:paraId="46CD4BC8" w14:textId="77777777" w:rsidR="009B532E" w:rsidRPr="009B532E" w:rsidRDefault="009B532E" w:rsidP="009B532E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br/>
        <w:t xml:space="preserve">Esta página apresenta os princípios fundamentais do capítulo. Limiares quantitativos das classificações, valores dos parâmetros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espinopélvicos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detalhes das técnicas de redução, extensão da instrumentação e etapas operatórias permanecem reservados ao conteúdo integral do </w:t>
      </w:r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CE123DA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4987DA95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7429471F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6E9A63CC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 espondilólise e a espondilolistese na criança constituem alterações da transição lombossacra cuja expressão clínica varia desde achados radiográficos assintomáticos até deformidades de alto grau acompanhadas de desequilíbrio sagital, dor,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radiculopatia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comprometimento funcional. A espondilólise corresponde ao defeito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interarticularis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, enquanto a espondilolistese caracteriza o deslizamento vertebral. Sua fisiopatologia é multifatorial e envolve sobrecarga mecânica repetitiva, morfologia vertebral, parâmetros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espinopélvicos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predisposição genética e determinadas atividades esportivas. A maioria das formas de baixo grau apresenta evolução favorável, mas o risco de progressão aumenta em pacientes ainda em crescimento e em determinadas configurações anatômicas. O capítulo destaca que a análise moderna não deve se limitar à porcentagem de deslizamento: cifose lombossacra, posição da pelve e equilíbrio sagital global modificam o significado da deformidade e são fundamentais para decidir entre observação, artrodese </w:t>
      </w:r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in situ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e redução.</w:t>
      </w:r>
    </w:p>
    <w:p w14:paraId="33F38CE9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7BD952B4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21718D9B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1C522750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os fundamentos anatômicos, fisiopatológicos, clínicos e radiográficos da espondilólise e da espondilolistese pediátrica. O leitor deverá reconhecer os diferentes padrões da doença, selecionar os exames de imagem, compreender as classificações de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Meyerding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do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Deformity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Study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Group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(SDSG), avaliar equilíbrio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espinopélvico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cifose lombossacra e compreender os princípios que orientam tratamento conservador, reparo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artrodese </w:t>
      </w:r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in situ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redução e prevenção das principais complicações.</w:t>
      </w:r>
    </w:p>
    <w:p w14:paraId="16BADDCA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5B46B5A8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19DB4AED" w14:textId="77777777" w:rsidR="009B532E" w:rsidRPr="009B532E" w:rsidRDefault="009B532E" w:rsidP="009B53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0CD636F3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Espondilólise e espondilolistese como doença do crescimento</w:t>
      </w:r>
    </w:p>
    <w:p w14:paraId="1106BB62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 espondilólise é interpretada no capítulo como resultado de uma fratura por estresse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interarticularis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 em indivíduo predisposto por fatores genéticos e morfológicos. O bipedalismo, a lordose lombar e atividades que combinam hiperextensão e rotação aumentam as forças sobre a junção lombossacra. Parâmetros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espinopélvicos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a orientação das estruturas posteriores também participam desse ambiente biomecânico.</w:t>
      </w:r>
    </w:p>
    <w:p w14:paraId="4A4F4D6E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 progressão do deslizamento ocorre predominantemente durante o crescimento e torna-se menos frequente após a maturidade esquelética. Por isso, idade biológica e potencial de crescimento fazem parte da avaliação mesmo em pacientes assintomáticos.</w:t>
      </w:r>
    </w:p>
    <w:p w14:paraId="5F5A62F4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Quadro clínico e compensação postural</w:t>
      </w:r>
    </w:p>
    <w:p w14:paraId="29931D5C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Casos de baixo grau podem permanecer inteiramente assintomáticos. Quando há dor, ela costuma ser lombar baixa, relacionada à atividade e aliviada pelo repouso. Deslizamentos maiores podem associar-se a sintomas radiculares, claudicação e, mais raramente, alterações esfincterianas.</w:t>
      </w:r>
    </w:p>
    <w:p w14:paraId="0BDA096C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À medida que aumenta a deformidade lombossacra, surgem mecanismos compensatórios envolvendo lordose lombar, retroversão pélvica e flexão dos membros inferiores. A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1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 demonstra o sinal de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Phalen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-Dickson, expressão clínica desse desequilíbrio. A retração dos isquiotibiais, ilustrada na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2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constitui outro achado característico em determinados pacientes.</w:t>
      </w:r>
    </w:p>
    <w:p w14:paraId="46A83426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Imagem: cada método responde uma pergunta</w:t>
      </w:r>
    </w:p>
    <w:p w14:paraId="3DE56D52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Radiografias em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ortostase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constituem o ponto de partida e permitem reconhecer o deslizamento, avaliar a deformidade e analisar o equilíbrio global. O capítulo desencoraja o emprego rotineiro das incidências oblíquas quando não acrescentam informação suficiente para justificar a exposição adicional à radiação.</w:t>
      </w:r>
    </w:p>
    <w:p w14:paraId="259FC2A0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 tomografia computadorizada (TC) detalha o defeito ósseo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e a anatomia em casos complexos, como demonstra a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4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Cintilografia e tomografia computadorizada por emissão de fóton único (SPECT) podem contribuir para diferenciar determinadas lesões ativas de defeitos crônicos. A ressonância magnética (RM) evita radiação, pode reconhecer alterações precoces relacionadas ao estresse ósseo e é especialmente importante diante de sintomas neurológicos ou no planejamento cirúrgico.</w:t>
      </w:r>
    </w:p>
    <w:p w14:paraId="7CFA33D0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Classificar além do percentual de deslizamento</w:t>
      </w:r>
    </w:p>
    <w:p w14:paraId="25A29B8A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A classificação de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Meyerding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representada na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5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, permanece uma linguagem simples para quantificar o deslizamento.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Wiltse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-Newman-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Macnab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Marchetti-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Bartolozzi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acrescentam perspectiva etiológica.</w:t>
      </w:r>
    </w:p>
    <w:p w14:paraId="6A35C30A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 capítulo atribui especial relevância à classificação do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SDSG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apresentada nas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7 e 8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porque integra deformidade local, morfologia e posição da pelve e equilíbrio global do tronco. A cifose lombossacra, exemplificada pelos parâmetros da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6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passa a ter papel central: a porcentagem de deslizamento deixa de ser o único elemento que determina a gravidade funcional da doença.</w:t>
      </w:r>
    </w:p>
    <w:p w14:paraId="2B884288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Tratamento guiado por sintomas, progressão e equilíbrio</w:t>
      </w:r>
    </w:p>
    <w:p w14:paraId="256D2477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 maioria das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espondilólises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espondilolisteses de baixo grau é manejada inicialmente de forma conservadora, com modificação das atividades, controle da dor, fisioterapia e acompanhamento durante o crescimento.</w:t>
      </w:r>
    </w:p>
    <w:p w14:paraId="671CA087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 cirurgia é considerada diante de sintomas persistentes, progressão, comprometimento neurológico ou deformidades de maior gravidade. As possibilidades incluem reparo direto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em pacientes muito selecionados, diferentes modalidades de artrodese e, nos casos de maior desequilíbrio, redução associada à reconstrução.</w:t>
      </w:r>
    </w:p>
    <w:p w14:paraId="504736D4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 conceito enfatizado pelos autores é que, nos deslizamentos graves,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corrigir a cifose lombossacra e restabelecer o equilíbrio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espinopélvico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é mais importante do que buscar obrigatoriamente uma redução completa da translação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70F5069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42B3C805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018CAD7B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0CE7F94A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Na prática, um defeito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encontrado na investigação de lombalgia não deve ser automaticamente considerado a causa da dor. História, padrão dos sintomas, atividade esportiva e exame físico devem ser correlacionados com a imagem. Em pacientes em crescimento, mesmo uma espondilolistese pouco sintomática merece acompanhamento quando a morfologia sugere maior possibilidade de progressão.</w:t>
      </w:r>
    </w:p>
    <w:p w14:paraId="3A5348CD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Radiografias panorâmicas em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ortostase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acrescentam uma informação que uma imagem localizada não oferece: mostram como coluna, sacro, pelve e membros inferiores participam conjuntamente do equilíbrio sagital. A classificação do SDSG organiza essa análise e ajuda a separar pacientes com deslizamento aparentemente semelhante, mas comportamento biomecânico diferente.</w:t>
      </w:r>
    </w:p>
    <w:p w14:paraId="281CB94D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Nas formas de baixo grau, o tratamento inicial procura aliviar sintomas e reduzir a sobrecarga mecânica, preservando atividade progressivamente conforme a melhora. Quando a cirurgia é necessária, a escolha entre reparo do </w:t>
      </w:r>
      <w:proofErr w:type="spellStart"/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artrodese </w:t>
      </w:r>
      <w:r w:rsidRPr="009B532E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in situ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 e redução depende de idade, disco, qualidade óssea, progressão, neurologia e equilíbrio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espinopélvico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0FD9271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Nos deslizamentos graves, a decisão de reduzir deve ser especialmente criteriosa. O capítulo enfatiza proteção da raiz de L5, descompressão adequada quando indicada e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monitoração neurofisiológica durante manobras de maior risco. Os autores apresentam ao final um algoritmo próprio, baseado na classificação SDSG, que deve ser entendido como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preferência técnica do grupo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, e não como solução universal para todos os pacientes.</w:t>
      </w:r>
    </w:p>
    <w:p w14:paraId="4AE7E03A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060D476E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3C91EF8E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459FF64C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 espondilolistese pediátrica deve ser avaliada como uma deformidade </w:t>
      </w: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local, regional e global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O percentual de deslizamento é importante, mas não define sozinho prognóstico ou tratamento. Crescimento remanescente, cifose lombossacra, posição da pelve, equilíbrio sagital, sintomas e estado neurológico precisam ser integrados. A maioria dos casos de baixo grau evolui bem com tratamento conservador; nas formas graves, a reconstrução deve priorizar equilíbrio e função, evitando perseguir redução completa à custa de maior risco neurológico.</w:t>
      </w:r>
    </w:p>
    <w:p w14:paraId="24B8A80A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4679F1BF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5B1346B9" w14:textId="77777777" w:rsidR="009B532E" w:rsidRPr="009B532E" w:rsidRDefault="009B532E" w:rsidP="009B532E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0D8CFECD" w14:textId="77777777" w:rsidR="009B532E" w:rsidRPr="009B532E" w:rsidRDefault="009B532E" w:rsidP="009B532E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Dois pacientes com o mesmo grau de deslizamento podem apresentar prognósticos e necessidades terapêuticas muito diferentes. A posição da pelve, a cifose lombossacra, o crescimento remanescente e a capacidade do organismo de compensar a deformidade modificam completamente a interpretação da radiografia. Este capítulo mostra a evolução do raciocínio da simples quantificação do escorregamento para uma avaliação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global. Essa mudança permite acompanhar melhor quem pode progredir, evitar cirurgias desnecessárias nos casos favoráveis e selecionar com maior segurança os pacientes nos quais a restauração do equilíbrio justifica uma reconstrução mais complexa.</w:t>
      </w:r>
    </w:p>
    <w:p w14:paraId="7517BEE8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4F3BFB5C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2B03D294" w14:textId="77777777" w:rsidR="009B532E" w:rsidRPr="009B532E" w:rsidRDefault="009B532E" w:rsidP="009B53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4CB23AD3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135"/>
      </w:tblGrid>
      <w:tr w:rsidR="009B532E" w:rsidRPr="009B532E" w14:paraId="418BAE10" w14:textId="77777777" w:rsidTr="009B5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7A04B" w14:textId="77777777" w:rsidR="009B532E" w:rsidRPr="009B532E" w:rsidRDefault="009B532E" w:rsidP="009B5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2A1D4FD0" w14:textId="77777777" w:rsidR="009B532E" w:rsidRPr="009B532E" w:rsidRDefault="009B532E" w:rsidP="009B53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9B532E" w:rsidRPr="009B532E" w14:paraId="4FBA11A1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6AF0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Espondilolistese</w:t>
            </w:r>
          </w:p>
        </w:tc>
        <w:tc>
          <w:tcPr>
            <w:tcW w:w="0" w:type="auto"/>
            <w:vAlign w:val="center"/>
            <w:hideMark/>
          </w:tcPr>
          <w:p w14:paraId="19904BD6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Spondylolisthesis</w:t>
            </w:r>
            <w:proofErr w:type="spellEnd"/>
          </w:p>
        </w:tc>
      </w:tr>
      <w:tr w:rsidR="009B532E" w:rsidRPr="009B532E" w14:paraId="209F24FE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32DE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Espondilólise</w:t>
            </w:r>
          </w:p>
        </w:tc>
        <w:tc>
          <w:tcPr>
            <w:tcW w:w="0" w:type="auto"/>
            <w:vAlign w:val="center"/>
            <w:hideMark/>
          </w:tcPr>
          <w:p w14:paraId="1D033F46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Spondylolysis</w:t>
            </w:r>
            <w:proofErr w:type="spellEnd"/>
          </w:p>
        </w:tc>
      </w:tr>
      <w:tr w:rsidR="009B532E" w:rsidRPr="009B532E" w14:paraId="79054D5C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DF78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Vértebras Lombares</w:t>
            </w:r>
          </w:p>
        </w:tc>
        <w:tc>
          <w:tcPr>
            <w:tcW w:w="0" w:type="auto"/>
            <w:vAlign w:val="center"/>
            <w:hideMark/>
          </w:tcPr>
          <w:p w14:paraId="7D3BC519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Lumbar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Vertebrae</w:t>
            </w:r>
            <w:proofErr w:type="spellEnd"/>
          </w:p>
        </w:tc>
      </w:tr>
      <w:tr w:rsidR="009B532E" w:rsidRPr="009B532E" w14:paraId="718E7CFC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B73C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Criança</w:t>
            </w:r>
          </w:p>
        </w:tc>
        <w:tc>
          <w:tcPr>
            <w:tcW w:w="0" w:type="auto"/>
            <w:vAlign w:val="center"/>
            <w:hideMark/>
          </w:tcPr>
          <w:p w14:paraId="4E035987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Child</w:t>
            </w:r>
            <w:proofErr w:type="spellEnd"/>
          </w:p>
        </w:tc>
      </w:tr>
      <w:tr w:rsidR="009B532E" w:rsidRPr="009B532E" w14:paraId="76FAA097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D3CD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Radiografia</w:t>
            </w:r>
          </w:p>
        </w:tc>
        <w:tc>
          <w:tcPr>
            <w:tcW w:w="0" w:type="auto"/>
            <w:vAlign w:val="center"/>
            <w:hideMark/>
          </w:tcPr>
          <w:p w14:paraId="64930383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Radiography</w:t>
            </w:r>
            <w:proofErr w:type="spellEnd"/>
          </w:p>
        </w:tc>
      </w:tr>
      <w:tr w:rsidR="009B532E" w:rsidRPr="009B532E" w14:paraId="71EFFA3E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B632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122D6107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Tomography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, X-Ray </w:t>
            </w: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Computed</w:t>
            </w:r>
            <w:proofErr w:type="spellEnd"/>
          </w:p>
        </w:tc>
      </w:tr>
      <w:tr w:rsidR="009B532E" w:rsidRPr="009B532E" w14:paraId="5AA35D11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1F47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Imageamento por Ressonância Magnética</w:t>
            </w:r>
          </w:p>
        </w:tc>
        <w:tc>
          <w:tcPr>
            <w:tcW w:w="0" w:type="auto"/>
            <w:vAlign w:val="center"/>
            <w:hideMark/>
          </w:tcPr>
          <w:p w14:paraId="689C98EB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Magnetic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Resonance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Imaging</w:t>
            </w:r>
            <w:proofErr w:type="spellEnd"/>
          </w:p>
        </w:tc>
      </w:tr>
      <w:tr w:rsidR="009B532E" w:rsidRPr="009B532E" w14:paraId="7610DF63" w14:textId="77777777" w:rsidTr="009B5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2C04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6143834C" w14:textId="77777777" w:rsidR="009B532E" w:rsidRPr="009B532E" w:rsidRDefault="009B532E" w:rsidP="009B532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9B532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Fusion</w:t>
            </w:r>
          </w:p>
        </w:tc>
      </w:tr>
    </w:tbl>
    <w:p w14:paraId="1AD9A635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Palavras-chave livres adicionais</w:t>
      </w:r>
    </w:p>
    <w:p w14:paraId="2AC9F774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Espondilolistese pediátrica; espondilólise pediátrica;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pars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interarticularis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classificação SDSG; cifose lombossacra; equilíbrio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espinopélvico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incidência pélvica; sinal de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Phalen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-Dickson;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espondiloptose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redução da espondilolistese; </w:t>
      </w:r>
      <w:proofErr w:type="gram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Quadrado</w:t>
      </w:r>
      <w:proofErr w:type="gram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de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Lamartina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.</w:t>
      </w:r>
    </w:p>
    <w:p w14:paraId="2126E7D9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4B26E37E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6C9926FA" w14:textId="77777777" w:rsidR="009B532E" w:rsidRPr="009B532E" w:rsidRDefault="009B532E" w:rsidP="009B53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4A793909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278DDD9F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Deslizamento não conta tudo</w:t>
      </w:r>
    </w:p>
    <w:p w14:paraId="087BDDF4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 porcentagem de translação descreve apenas uma dimensão da deformidade. Cifose lombossacra, incidência e posição da pelve e equilíbrio global do tronco podem diferenciar pacientes com graus semelhantes de espondilolistese e ajudam a explicar por que seu prognóstico e tratamento não são necessariamente iguais.</w:t>
      </w:r>
    </w:p>
    <w:p w14:paraId="12FE8E2B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2DF24845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4AA0C7C2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151C49E7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Corrija o equilíbrio, não números</w:t>
      </w:r>
    </w:p>
    <w:p w14:paraId="794BD006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Nos deslizamentos graves, os autores enfatizam que o objetivo principal da reconstrução é melhorar a relação entre L5, sacro e pelve e restabelecer o equilíbrio sagital. A redução percentual pode ocorrer como consequência, mas buscá-la de forma completa não deve se sobrepor à segurança neurológica.</w:t>
      </w:r>
    </w:p>
    <w:p w14:paraId="6C785D5B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42CB3D55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60A24A8B" w14:textId="77777777" w:rsidR="009B532E" w:rsidRPr="009B532E" w:rsidRDefault="009B532E" w:rsidP="009B53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4D129248" w14:textId="77777777" w:rsidR="009B532E" w:rsidRPr="009B532E" w:rsidRDefault="009B532E" w:rsidP="009B53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Proteja a raiz de L5</w:t>
      </w:r>
    </w:p>
    <w:p w14:paraId="5C82C18D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 raiz de L5 é particularmente vulnerável durante procedimentos de redução. Descompressão insuficiente e tensão excessiva podem resultar em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radiculopatia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O capítulo recomenda que a estratégia seja planejada antes da manobra corretiva, com adequada liberação neural e monitorização nos casos de maior risco.</w:t>
      </w:r>
    </w:p>
    <w:p w14:paraId="1F481F8F" w14:textId="77777777" w:rsidR="009B532E" w:rsidRPr="009B532E" w:rsidRDefault="000F77E9" w:rsidP="009B532E">
      <w:pPr>
        <w:rPr>
          <w:rFonts w:ascii="Times New Roman" w:eastAsia="Times New Roman" w:hAnsi="Times New Roman" w:cs="Times New Roman"/>
          <w:lang w:eastAsia="pt-BR"/>
        </w:rPr>
      </w:pPr>
      <w:r w:rsidRPr="009B532E">
        <w:rPr>
          <w:rFonts w:ascii="Times New Roman" w:eastAsia="Times New Roman" w:hAnsi="Times New Roman" w:cs="Times New Roman"/>
          <w:noProof/>
          <w:lang w:eastAsia="pt-BR"/>
        </w:rPr>
        <w:pict w14:anchorId="09FCBD8C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2CEF628E" w14:textId="77777777" w:rsidR="009B532E" w:rsidRPr="009B532E" w:rsidRDefault="009B532E" w:rsidP="009B53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24618831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Herbiniaux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G.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Traité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divers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accouchemens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laborieux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les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polypes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de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matrice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... 1782.</w:t>
      </w:r>
    </w:p>
    <w:p w14:paraId="4CB284A9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Lonstein JE. Spondylolisthesis in children.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1999;24(24):2640.</w:t>
      </w:r>
    </w:p>
    <w:p w14:paraId="77981E75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Lan Z, Yan J, Yang Y, Xu Q,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Jin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Q. A review of the main classifications of lumbar spondylolisthesis.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World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2023;171:94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-102.</w:t>
      </w:r>
    </w:p>
    <w:p w14:paraId="21D57142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Fredrickson BE, Baker D,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McHolick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WJ, Yuan HA,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Lubicky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JP. The natural history of spondylolysis and spondylolisthesis.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Am. 1984;66(5):699-707.</w:t>
      </w:r>
    </w:p>
    <w:p w14:paraId="1466A31B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Helenius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Virkki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Toomela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Studer D,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Gehrchen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Ahonen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M. An Acta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Orthopaedica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educational article: treatment of pediatric spondylolysis and spondylolisthesis.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Acta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2025;96:80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-6.</w:t>
      </w:r>
    </w:p>
    <w:p w14:paraId="408C0A24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Wiltse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LL, Newman PH, Macnab I. Classification of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spondylolisis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spondylolisthesis.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Res. 1976;(117):23-9.</w:t>
      </w:r>
    </w:p>
    <w:p w14:paraId="576DDDEB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Roche MB, Rowe GG. The incidence of separate neural arch and coincident bone variations; a summary.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Am. 1952;34-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A(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2):491-4.</w:t>
      </w:r>
    </w:p>
    <w:p w14:paraId="2CE76E38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Logroscino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G, Mazza O,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Aulisa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G, Pitta L, Pola E,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Aulisa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Spondylolysis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spondylolisthesis in the pediatric and adolescent population.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Childs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Nerv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Syst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2001;17(11):644-55.</w:t>
      </w:r>
    </w:p>
    <w:p w14:paraId="457C18C2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Choi JH, Ochoa JK,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Lubinus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Timon S, Lee YP, Bhatia NN. Management of lumbar spondylolysis in the adolescent athlete: a review of over 200 cases.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2022;22(10):1628-33.</w:t>
      </w:r>
    </w:p>
    <w:p w14:paraId="44CEB014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Finkel RA, Narendran N,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Farivar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Nilssen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P, Metzger MF, Skaggs DL, et al.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Lumbosacral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anatomy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unique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in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pediatric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spondylolysis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2025;13(4):1197-204.</w:t>
      </w:r>
    </w:p>
    <w:p w14:paraId="4845D4CB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Stewart TD. [The age incidence of neural-arch defects in Alaskan natives, considered from the standpoint of etiology].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Am. 1953;35-A:937-50.</w:t>
      </w:r>
    </w:p>
    <w:p w14:paraId="3A014E4E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Wiltse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LL. The etiology of spondylolisthesis. J Bone Joint Surg Am. 1962;44-A:539-60.</w:t>
      </w:r>
    </w:p>
    <w:p w14:paraId="5F25E904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Cyron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BM, Hutton WC. Variations in the amount and distribution of cortical bone across the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partes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interarticulares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of L5.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predisposing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factor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in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spondylolysis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?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1979;4(2):163-7.</w:t>
      </w:r>
    </w:p>
    <w:p w14:paraId="4C6920C2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Rosenberg NJ,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Bargar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WL, Friedman B. The incidence of spondylolysis and spondylolisthesis in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nonambulatory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patients.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1981;6(1):35-8.</w:t>
      </w:r>
    </w:p>
    <w:p w14:paraId="781A984D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Ogilvie JW, Sherman J. Spondylolysis in Scheuermann’s disease.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1987;12(3):251-3.</w:t>
      </w:r>
    </w:p>
    <w:p w14:paraId="2F51BC68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Simper LB. Spondylolysis in Eskimo skeletons.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Acta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Scand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1986;57(1):78-80.</w:t>
      </w:r>
    </w:p>
    <w:p w14:paraId="6DB5B420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Miki T, Tamura T,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Senzoku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Kotani H, Hara T, Masuda T. Congenital laminar defect of the upper lumbar spine associated with pars defect.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A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report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eleven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cases.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1991;16(3):353-5.</w:t>
      </w:r>
    </w:p>
    <w:p w14:paraId="6ECC215D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Albanese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Pizzutillo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PD. Family study of spondylolysis and spondylolisthesis.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1982;2(5):496-9.</w:t>
      </w:r>
    </w:p>
    <w:p w14:paraId="2828E2CD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Wynne-Davies R, Scott JH. Inheritance and spondylolisthesis: a radiographic family survey.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Br. 1979;61-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B(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3):301-5.</w:t>
      </w:r>
    </w:p>
    <w:p w14:paraId="4391893F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Kong Q, Wei B,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Niu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Liao J, Zu Y, Shan T. Age, pelvic incidence, facet joint angle and pedicle-facet angle as correlative factors for isthmic spondylolisthesis: a retrospective case control study.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BMC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Musculoskelet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2023;24(1):497.</w:t>
      </w:r>
    </w:p>
    <w:p w14:paraId="414B0742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Lemoine T, Fournier 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Odent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Sembély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-Taveau C, Merenda P,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Sirinelli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et al. The prevalence of lumbar spondylolysis in young children: a retrospective analysis using CT.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2018;27(5):1067-72.</w:t>
      </w:r>
    </w:p>
    <w:p w14:paraId="766252DA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Kriz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PK,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Kobelski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GP,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Kriz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JP,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Willwerth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SB, Hunt DL, Evangelista PT, et al. </w:t>
      </w: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Pars interarticularis and pedicle stress injuries in young athletes with low back pain: a retrospective cohort study of 902 patients evaluated with magnetic resonance imaging.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Am J Sports Med. 2024;52(10):2639-45.</w:t>
      </w:r>
    </w:p>
    <w:p w14:paraId="35117A45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Beutler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WJ, Fredrickson BE,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Murtland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Sweeney CA, Grant WD, Baker D. The natural history of spondylolysis and spondylolisthesis: 45-year follow-up evaluation.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2003;28(10):1027-35;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discussion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1035.</w:t>
      </w:r>
    </w:p>
    <w:p w14:paraId="7A8C7351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Millson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HB, Gray J, Stretch RA, Lambert MI. Dissociation between back pain and bone stress reaction as measured by CT scan in young cricket fast bowlers.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Br J Sports Med. 2004;38(5):586-91.</w:t>
      </w:r>
    </w:p>
    <w:p w14:paraId="7930EADA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Feldman DS, Straight JJ,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Badra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MI,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Mohaideen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Madan SS. Evaluation of an algorithmic approach to pediatric back pain.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2006;26(3):353-7.</w:t>
      </w:r>
    </w:p>
    <w:p w14:paraId="64AE93E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El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Rassi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Takemitsu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Woratanarat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P, Shah SA. Lumbar spondylolysis in pediatric and adolescent soccer players.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Am J Sports Med. 2005;33(11):1688-93.</w:t>
      </w:r>
    </w:p>
    <w:p w14:paraId="186D9FC6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Danielson BI,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Frennered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AK,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Irstam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LK. Radiologic progression of isthmic lumbar spondylolisthesis in young patients.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1991;16(4):422-5.</w:t>
      </w:r>
    </w:p>
    <w:p w14:paraId="40973D01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Nedelea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DG,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Vulpe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DE,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Gherghiceanu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Capitanu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BS,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Dragosloveanu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Stoica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IC. Surgical and non-surgical management of spondylolisthesis: a comprehensive review.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J Med Life. 2025;18(3):196-207.</w:t>
      </w:r>
    </w:p>
    <w:p w14:paraId="050C338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Hu SS,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Tribus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CB,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Diab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Ghanayem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AJ. </w:t>
      </w: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Spondylolisthesis and spondylolysis. J Bone Joint Surg Am. 2008;90(3):656-71.</w:t>
      </w:r>
    </w:p>
    <w:p w14:paraId="40222FB7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Phalen GS, Dickson JA. Spondylolisthesis and tight hamstrings. J Bone Joint Surg Am. 1961;43-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A(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4):505-12.</w:t>
      </w:r>
    </w:p>
    <w:p w14:paraId="7A8D5F9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Tsirikos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AI, Garrido EG. Spondylolysis and spondylolisthesis in children and adolescents.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Br. 2010;92(6):751-9.</w:t>
      </w:r>
    </w:p>
    <w:p w14:paraId="1C99E59A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Expósito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Jiménez D, Álvarez de Sierra Garcia B. Magnetic resonance imaging (MRI) computed tomography (CT) in the diagnosis and classification of spondylolysis and spondylolisthesis-a narrative review.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Quant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Imaging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Med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2024;14(11):7891-907.</w:t>
      </w:r>
    </w:p>
    <w:p w14:paraId="5709F739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Meyerding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HS. Spondylolisthesis. Surg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Gynecol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Obstet.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1932;54:371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-7.</w:t>
      </w:r>
    </w:p>
    <w:p w14:paraId="345E1AFA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Cetik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Latalski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Yazici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M. Management of low back pain accompanying sagittal plane pathologies in children: spondylolysis/spondylolisthesis and Scheuermann’s disease.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Child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2023;17(6):535-47.</w:t>
      </w:r>
    </w:p>
    <w:p w14:paraId="193DB76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Ledonio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CGT, Burton DC, Crawford CH 3rd, Bess RS,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Buchowski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Hu SS, et al. Current evidence regarding diagnostic imaging methods for pediatric lumbar spondylolysis: a report from the Scoliosis Research Society Evidence-Based Medicine Committee.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2017;5(2):97-101.</w:t>
      </w:r>
    </w:p>
    <w:p w14:paraId="6FB27276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Trout AT, Sharp SE, Anton CG, Gelfand MJ, Mehlman CT. Spondylolysis and beyond: value of SPECT/CT in evaluation of low back pain in children and young adults.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Radiographics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2015;35(3):819-34.</w:t>
      </w:r>
    </w:p>
    <w:p w14:paraId="2BDE1CF8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Wu HH, Brown K, Flores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Cazzulino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Swarup I. Diagnosis and management of spondylolysis and spondylolisthesis in children. JBJS Rev. 2022;10(3). Available from: </w:t>
      </w:r>
      <w:hyperlink r:id="rId5" w:history="1">
        <w:r w:rsidRPr="009B532E">
          <w:rPr>
            <w:rFonts w:ascii="Times New Roman" w:eastAsia="Times New Roman" w:hAnsi="Times New Roman" w:cs="Times New Roman"/>
            <w:color w:val="0000FF"/>
            <w:u w:val="single"/>
            <w:lang w:val="en-US" w:eastAsia="pt-BR"/>
          </w:rPr>
          <w:t>http://dx.doi.org/10.2106/JBJS.RVW.21.00176</w:t>
        </w:r>
      </w:hyperlink>
    </w:p>
    <w:p w14:paraId="030A1291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 xml:space="preserve">Rush JK, Astur N, Scott S, Kelly DM, Sawyer JR, Warner WC Jr. Use of magnetic resonance imaging in the evaluation of spondylolysis.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2015;35(3):271-5.</w:t>
      </w:r>
    </w:p>
    <w:p w14:paraId="3476E831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Mac-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Thiong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Labelle H, Parent S, Poitras B,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Jodoin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Ouellet J, et al. Assessment of sacral doming in lumbosacral spondylolisthesis. Spine (Phila Pa 1976).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2007;32(17):1888-95.</w:t>
      </w:r>
    </w:p>
    <w:p w14:paraId="50B67D63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Batra S, Garg B. Classification of spondylolisthesis.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Ind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2021;4(1):10-7.</w:t>
      </w:r>
    </w:p>
    <w:p w14:paraId="03F52ACA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Boxall D, Bradford DS, Winter RB, Moe JH. Management of severe spondylolisthesis in children and adolescents.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Am. 1979;61(4):479-95.</w:t>
      </w:r>
    </w:p>
    <w:p w14:paraId="6F774978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Antoniades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SB,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Hammerberg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KW, DeWald RL. Sagittal plane configuration of the sacrum in spondylolisthesis.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2000;25(9):1085-91.</w:t>
      </w:r>
    </w:p>
    <w:p w14:paraId="4E4A6260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Dubousset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J. Treatment of spondylolysis and spondylolisthesis in children and adolescents.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Res. 1997;(337):77-85.</w:t>
      </w:r>
    </w:p>
    <w:p w14:paraId="16ACD85E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Marchetti P,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Bartolozzi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P. Classification of spondylolisthesis as a guideline for treatment. In: Bridwell KH, DeWald RL, editors. The Textbook of Spinal Surgery.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Philadelphia: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Lippincott-Raven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; 1997. p. 1211-54.</w:t>
      </w:r>
    </w:p>
    <w:p w14:paraId="7FF5394E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Daher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Rezk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A,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Baroudi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Balmaceno-Criss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Gregorczyk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JG, McDermott JR, et al. </w:t>
      </w: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Lumbar spondylolisthesis grading: current standards and important factors to consider for management.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World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2024;190:311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-7.</w:t>
      </w:r>
    </w:p>
    <w:p w14:paraId="7DA45726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Hresko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MT, Labelle H,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Roussouly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Berthonnaud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E. Classification of high-grade spondylolistheses based on pelvic version and spine balance: possible rationale for reduction.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2007;32(20):2208-13.</w:t>
      </w:r>
    </w:p>
    <w:p w14:paraId="24B049B6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Labelle H, Mac-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Thiong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Roussouly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Spino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-pelvic sagittal balance of spondylolisthesis: a review and classification.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2011;20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5:S641-6.</w:t>
      </w:r>
    </w:p>
    <w:p w14:paraId="1A089D2B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Dionne A, Mac-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Thiong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Parent S, Shen 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Joncas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Barchi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et al. Clinical and radiological outcomes of gradual reduction and circumferential fusion of high-grade spondylolisthesis in adolescents: a prospective cohort study of 29 young patients.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2024;12(5):1411-20.</w:t>
      </w:r>
    </w:p>
    <w:p w14:paraId="57822A20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Macagno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Buchowski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Luhmann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Reid K,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L, O’Brien M. High-grade spondylolisthesis. In: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Mummaneni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PV,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Lenke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LG,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Haid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RW Jr, editors. Spinal Deformity: A Guide to Surgical Planning and Management.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Quality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Medical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Publishing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; 2008. p. 591-646.</w:t>
      </w:r>
    </w:p>
    <w:p w14:paraId="3796ED9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Frennered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AK, Danielson BI,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Nachemson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AL. Natural history of symptomatic isthmic low-grade spondylolisthesis in children and adolescents: a seven-year follow-up study.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1991;11(2):209-13.</w:t>
      </w:r>
    </w:p>
    <w:p w14:paraId="3426474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Elias E, Daoud A, Elias C, Chiu RG, Sanchez JM, Nasser Z. Historical evolution, management, and outcome of surgical treatment for high-grade spondylolisthesis: a systematic review.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2025;42(6):784-96.</w:t>
      </w:r>
    </w:p>
    <w:p w14:paraId="3B8A0F58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Shufflebarger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HL,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Geck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MJ. High-grade isthmic dysplastic spondylolisthesis: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monosegmental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surgical treatment.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2005;30(6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):S42-8.</w:t>
      </w:r>
    </w:p>
    <w:p w14:paraId="3A7B698D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Nilssen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PK, Narendran N, Finkel RA, Illingworth KD, Skaggs DL. Spondylolisthesis in young patients in a large national cohort: reoperation rate depends on surgical approach. J Bone Joint Surg Am. 2024 Oct 31. Available from: </w:t>
      </w:r>
      <w:hyperlink r:id="rId6" w:history="1">
        <w:r w:rsidRPr="009B532E">
          <w:rPr>
            <w:rFonts w:ascii="Times New Roman" w:eastAsia="Times New Roman" w:hAnsi="Times New Roman" w:cs="Times New Roman"/>
            <w:color w:val="0000FF"/>
            <w:u w:val="single"/>
            <w:lang w:val="en-US" w:eastAsia="pt-BR"/>
          </w:rPr>
          <w:t>http://dx.doi.org/10.2106/JBJS.23.01242</w:t>
        </w:r>
      </w:hyperlink>
    </w:p>
    <w:p w14:paraId="2B8D241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Harroud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Labelle H,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Joncas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Mac-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Thiong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JM. Global sagittal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alignment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health-related quality of life in lumbosacral spondylolisthesis.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2013;22(4):849-56.</w:t>
      </w:r>
    </w:p>
    <w:p w14:paraId="60AF1080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Koucheki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R,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Rocos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B, Gandhi R, Lewis SJ,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Lebel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DE. </w:t>
      </w: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Surgical management of high-grade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paediatric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spondylolisthesis: meta-analysis and systematic review.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2023;32(2):436-46.</w:t>
      </w:r>
    </w:p>
    <w:p w14:paraId="3718DF88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Takeda K, Suzuki S, Ozaki M, Takahashi Y, Tsuji O,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Nagoshi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N, et al. </w:t>
      </w: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Influence of slippage reduction and correction of lumbosacral kyphosis by single-level posterior lumbar interbody fusion on spinal alignment in patients with dysplastic spondylolisthesis.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2024;12(6):1761-72.</w:t>
      </w:r>
    </w:p>
    <w:p w14:paraId="504446DD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Guo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X,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Guo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Z, Li W, Chen Z, Qi Q, Sun C, et al. </w:t>
      </w: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Increased risk of adjacent segment spondylolisthesis or instability following L5-S1 versus L4-S1 fixation for L5-S1 high-grade dysplastic spondylolisthesis in children.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2025;17(4):1133-42.</w:t>
      </w:r>
    </w:p>
    <w:p w14:paraId="665F59AF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Lamartina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Zavatsky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Petruzzi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Specchia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N. Novel concepts in the evaluation and treatment of high-dysplastic spondylolisthesis.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2009;18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1:S133-42.</w:t>
      </w:r>
    </w:p>
    <w:p w14:paraId="730080C3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Douleh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DG, Albert G, Garg S. Surgical techniques for adolescent lumbar spondylolisthesis.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Soc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North Am. 2022;4(4):545.</w:t>
      </w:r>
    </w:p>
    <w:p w14:paraId="7558B225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Hasan MY, Liu G, Wong HK, Tan JH. Postoperative complications of S2AI versus iliac screw in spinopelvic fixation: a meta-analysis and recent trends review.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J. 2020;20(6):964-72.</w:t>
      </w:r>
    </w:p>
    <w:p w14:paraId="66B738A4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Jiao J, Guo D, Cao J, Zhang X, Yao Z. Scoliosis risk factors and outcomes in children with dysplastic spondylolisthesis undergoing surgical reduction and fixation.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Child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2023;17(4):360-6.</w:t>
      </w:r>
    </w:p>
    <w:p w14:paraId="1E04C784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Michael GE,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Etigunta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SK, Liu A, Perales M, Alexander C, Watterson C, et al. Magnetic resonance imaging-generated synthetic computed tomography in pediatric spine patients. JB JS Open Access. 2025;10(2). Available from: </w:t>
      </w:r>
      <w:hyperlink r:id="rId7" w:history="1">
        <w:r w:rsidRPr="009B532E">
          <w:rPr>
            <w:rFonts w:ascii="Times New Roman" w:eastAsia="Times New Roman" w:hAnsi="Times New Roman" w:cs="Times New Roman"/>
            <w:color w:val="0000FF"/>
            <w:u w:val="single"/>
            <w:lang w:val="en-US" w:eastAsia="pt-BR"/>
          </w:rPr>
          <w:t>http://dx.doi.org/10.2106/JBJS.OA.25.00099</w:t>
        </w:r>
      </w:hyperlink>
    </w:p>
    <w:p w14:paraId="3866E7EC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Chang YC, Del Toro C,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Gjolaj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JP, Braga TA,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Subhawong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TK. Can artificial intelligence in spine imaging affect current practice? Practical developments and their clinical status. N Am Spine Soc J.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2025;23:100621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.</w:t>
      </w:r>
    </w:p>
    <w:p w14:paraId="5EDC21D3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Khan M, Ahuja K,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Tsirikos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AI. AI and machine learning in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paediatric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spine deformity surgery.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Jt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Open. 2025;6(5):569-81.</w:t>
      </w:r>
    </w:p>
    <w:p w14:paraId="3E0A745E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Gu X, Zhang S, Liu Y, Qi J, Gu Y, Ma W. Mid-term efficacy of non-contact orthopedic robot navigation in the treatment of lumbar spondylolisthesis.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BMC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Musculoskelet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2024;25(1):898.</w:t>
      </w:r>
    </w:p>
    <w:p w14:paraId="321F1663" w14:textId="77777777" w:rsidR="009B532E" w:rsidRPr="009B532E" w:rsidRDefault="009B532E" w:rsidP="009B53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Dai Y, Shen G, Wang J, Chen Y, Wang K,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Jin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Q. </w:t>
      </w:r>
      <w:proofErr w:type="gramStart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>Efficacy</w:t>
      </w:r>
      <w:proofErr w:type="gramEnd"/>
      <w:r w:rsidRPr="009B532E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safety of robot-assisted pedicle screw placement in lumbar spondylolisthesis: a meta-analysis. 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Robot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. 2025;19(1):369.</w:t>
      </w:r>
    </w:p>
    <w:p w14:paraId="52585475" w14:textId="77777777" w:rsidR="009B532E" w:rsidRPr="009B532E" w:rsidRDefault="009B532E" w:rsidP="009B53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21ACDE41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Espondilolistese na criança: avaliação e tratamento</w:t>
      </w:r>
    </w:p>
    <w:p w14:paraId="7FD71D9B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 Espondilólise e espondilolistese pediátrica: diagnóstico, classificação SDSG, equilíbrio </w:t>
      </w:r>
      <w:proofErr w:type="spellStart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espinopélvico</w:t>
      </w:r>
      <w:proofErr w:type="spellEnd"/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 xml:space="preserve"> e princípios do tratamento.</w:t>
      </w:r>
    </w:p>
    <w:p w14:paraId="7A97B3C6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>Resumo de chamada: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Abordagem da espondilolistese pediátrica integrando crescimento, diagnóstico por imagem, classificação SDSG, cifose lombossacra, equilíbrio sagital e princípios do tratamento conservador e cirúrgico.</w:t>
      </w:r>
    </w:p>
    <w:p w14:paraId="28D8A57F" w14:textId="77777777" w:rsidR="009B532E" w:rsidRPr="009B532E" w:rsidRDefault="009B532E" w:rsidP="009B532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9B532E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9B532E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9B532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espondilolistese-na-</w:t>
      </w:r>
      <w:proofErr w:type="spellStart"/>
      <w:r w:rsidRPr="009B532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crianca</w:t>
      </w:r>
      <w:proofErr w:type="spellEnd"/>
    </w:p>
    <w:p w14:paraId="5FA826EF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97923"/>
    <w:multiLevelType w:val="multilevel"/>
    <w:tmpl w:val="1B7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B6D03"/>
    <w:multiLevelType w:val="multilevel"/>
    <w:tmpl w:val="A252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D638A"/>
    <w:multiLevelType w:val="multilevel"/>
    <w:tmpl w:val="DE2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36138">
    <w:abstractNumId w:val="0"/>
  </w:num>
  <w:num w:numId="2" w16cid:durableId="1097210756">
    <w:abstractNumId w:val="1"/>
  </w:num>
  <w:num w:numId="3" w16cid:durableId="111667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2E"/>
    <w:rsid w:val="000D7E60"/>
    <w:rsid w:val="000F77E9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9B532E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728F9"/>
  <w15:chartTrackingRefBased/>
  <w15:docId w15:val="{540C598C-48F9-F741-9145-32DC9EC7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B532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B532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B53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532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B53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B532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B53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9B532E"/>
    <w:rPr>
      <w:b/>
      <w:bCs/>
    </w:rPr>
  </w:style>
  <w:style w:type="character" w:customStyle="1" w:styleId="apple-converted-space">
    <w:name w:val="apple-converted-space"/>
    <w:basedOn w:val="Fontepargpadro"/>
    <w:rsid w:val="009B532E"/>
  </w:style>
  <w:style w:type="character" w:styleId="nfase">
    <w:name w:val="Emphasis"/>
    <w:basedOn w:val="Fontepargpadro"/>
    <w:uiPriority w:val="20"/>
    <w:qFormat/>
    <w:rsid w:val="009B532E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9B532E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B53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x.doi.org/10.2106/JBJS.OA.25.000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x.doi.org/10.2106/JBJS.23.01242" TargetMode="External"/><Relationship Id="rId5" Type="http://schemas.openxmlformats.org/officeDocument/2006/relationships/hyperlink" Target="http://dx.doi.org/10.2106/JBJS.RVW.21.0017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3578</Words>
  <Characters>19324</Characters>
  <Application>Microsoft Office Word</Application>
  <DocSecurity>0</DocSecurity>
  <Lines>161</Lines>
  <Paragraphs>45</Paragraphs>
  <ScaleCrop>false</ScaleCrop>
  <Company/>
  <LinksUpToDate>false</LinksUpToDate>
  <CharactersWithSpaces>22857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2026-08-21T03:21:00Z</dcterms:created>
  <dcterms:modified xsi:type="dcterms:W3CDTF">2026-08-21T03:26:00Z</dcterms:modified>
</cp:coreProperties>
</file>