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9B253" w14:textId="77777777" w:rsid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Capítulo </w:t>
      </w:r>
      <w:r>
        <w:rPr>
          <w:rFonts w:ascii="Arial" w:eastAsia="Times New Roman" w:hAnsi="Arial" w:cs="Arial"/>
          <w:lang w:eastAsia="pt-BR"/>
        </w:rPr>
        <w:t>39</w:t>
      </w:r>
      <w:r w:rsidRPr="00EF4398">
        <w:rPr>
          <w:rFonts w:ascii="Arial" w:eastAsia="Times New Roman" w:hAnsi="Arial" w:cs="Arial"/>
          <w:lang w:eastAsia="pt-BR"/>
        </w:rPr>
        <w:t xml:space="preserve"> </w:t>
      </w:r>
    </w:p>
    <w:p w14:paraId="7D190EB4" w14:textId="282E9728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Identificação</w:t>
      </w:r>
    </w:p>
    <w:p w14:paraId="45561271" w14:textId="1E46A0F0" w:rsidR="00EF4398" w:rsidRPr="00EF4398" w:rsidRDefault="00EF4398" w:rsidP="00EF4398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Número do capítulo:</w:t>
      </w:r>
      <w:r w:rsidRPr="00EF4398">
        <w:rPr>
          <w:rFonts w:ascii="Arial" w:eastAsia="Times New Roman" w:hAnsi="Arial" w:cs="Arial"/>
          <w:lang w:eastAsia="pt-BR"/>
        </w:rPr>
        <w:t xml:space="preserve"> Capítulo </w:t>
      </w:r>
      <w:r>
        <w:rPr>
          <w:rFonts w:ascii="Arial" w:eastAsia="Times New Roman" w:hAnsi="Arial" w:cs="Arial"/>
          <w:lang w:eastAsia="pt-BR"/>
        </w:rPr>
        <w:t>39</w:t>
      </w:r>
      <w:r w:rsidRPr="00EF4398">
        <w:rPr>
          <w:rFonts w:ascii="Arial" w:eastAsia="Times New Roman" w:hAnsi="Arial" w:cs="Arial"/>
          <w:lang w:eastAsia="pt-BR"/>
        </w:rPr>
        <w:t xml:space="preserve"> </w:t>
      </w:r>
    </w:p>
    <w:p w14:paraId="120E5298" w14:textId="77777777" w:rsidR="00EF4398" w:rsidRPr="00EF4398" w:rsidRDefault="00EF4398" w:rsidP="00EF4398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Título completo:</w:t>
      </w:r>
      <w:r w:rsidRPr="00EF4398">
        <w:rPr>
          <w:rFonts w:ascii="Arial" w:eastAsia="Times New Roman" w:hAnsi="Arial" w:cs="Arial"/>
          <w:lang w:eastAsia="pt-BR"/>
        </w:rPr>
        <w:t xml:space="preserve"> Espondilolistese No Adulto </w:t>
      </w:r>
    </w:p>
    <w:p w14:paraId="4A834704" w14:textId="0097D6EE" w:rsidR="00EF4398" w:rsidRPr="00EF4398" w:rsidRDefault="00EF4398" w:rsidP="00EF4398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Seção do Tratado:</w:t>
      </w:r>
      <w:r w:rsidRPr="00EF4398">
        <w:rPr>
          <w:rFonts w:ascii="Arial" w:eastAsia="Times New Roman" w:hAnsi="Arial" w:cs="Arial"/>
          <w:lang w:eastAsia="pt-BR"/>
        </w:rPr>
        <w:t xml:space="preserve"> </w:t>
      </w:r>
      <w:r>
        <w:rPr>
          <w:rFonts w:ascii="Arial" w:eastAsia="Times New Roman" w:hAnsi="Arial" w:cs="Arial"/>
          <w:lang w:eastAsia="pt-BR"/>
        </w:rPr>
        <w:t>4</w:t>
      </w:r>
      <w:r w:rsidRPr="00EF4398">
        <w:rPr>
          <w:rFonts w:ascii="Arial" w:eastAsia="Times New Roman" w:hAnsi="Arial" w:cs="Arial"/>
          <w:lang w:eastAsia="pt-BR"/>
        </w:rPr>
        <w:t xml:space="preserve"> </w:t>
      </w:r>
    </w:p>
    <w:p w14:paraId="29484E54" w14:textId="77777777" w:rsidR="00EF4398" w:rsidRPr="00EF4398" w:rsidRDefault="00EF4398" w:rsidP="00EF4398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Autores:</w:t>
      </w:r>
      <w:r w:rsidRPr="00EF4398">
        <w:rPr>
          <w:rFonts w:ascii="Arial" w:eastAsia="Times New Roman" w:hAnsi="Arial" w:cs="Arial"/>
          <w:lang w:eastAsia="pt-BR"/>
        </w:rPr>
        <w:t xml:space="preserve"> Rodrigo Amaral, </w:t>
      </w:r>
      <w:proofErr w:type="spellStart"/>
      <w:r w:rsidRPr="00EF4398">
        <w:rPr>
          <w:rFonts w:ascii="Arial" w:eastAsia="Times New Roman" w:hAnsi="Arial" w:cs="Arial"/>
          <w:lang w:eastAsia="pt-BR"/>
        </w:rPr>
        <w:t>Jullyene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Pokorny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Gabriel </w:t>
      </w:r>
      <w:proofErr w:type="spellStart"/>
      <w:r w:rsidRPr="00EF4398">
        <w:rPr>
          <w:rFonts w:ascii="Arial" w:eastAsia="Times New Roman" w:hAnsi="Arial" w:cs="Arial"/>
          <w:lang w:eastAsia="pt-BR"/>
        </w:rPr>
        <w:t>Pokorny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Fernando Marcelino, Rafael </w:t>
      </w:r>
      <w:proofErr w:type="spellStart"/>
      <w:r w:rsidRPr="00EF4398">
        <w:rPr>
          <w:rFonts w:ascii="Arial" w:eastAsia="Times New Roman" w:hAnsi="Arial" w:cs="Arial"/>
          <w:lang w:eastAsia="pt-BR"/>
        </w:rPr>
        <w:t>Moriguchi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Igor Barreira Magro, Luiz Pimenta </w:t>
      </w:r>
    </w:p>
    <w:p w14:paraId="55F1B93E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Contexto</w:t>
      </w:r>
    </w:p>
    <w:p w14:paraId="355C595D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A espondilolistese no adulto abrange principalmente duas apresentações de etiologias distintas: a espondilolistese degenerativa (ED) e a espondilolistese ístmica (EI). A ED decorre da deterioração do disco intervertebral e das articulações </w:t>
      </w:r>
      <w:proofErr w:type="spellStart"/>
      <w:r w:rsidRPr="00EF4398">
        <w:rPr>
          <w:rFonts w:ascii="Arial" w:eastAsia="Times New Roman" w:hAnsi="Arial" w:cs="Arial"/>
          <w:lang w:eastAsia="pt-BR"/>
        </w:rPr>
        <w:t>facetárias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sendo predominante em mulheres com mais de 50 anos e afetando sobretudo o nível L4–L5. Por outro lado, a EI origina-se de uma anormalidade na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pars</w:t>
      </w:r>
      <w:proofErr w:type="spellEnd"/>
      <w:r w:rsidRPr="00EF4398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interarticularis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(frequentemente fratura por estresse ou defeito ósseo), acometendo mais homens e atletas expostos a movimentos de hiperextensão e rotação, com maior incidência no nível L5–S1. Embora ambas as condições possam evoluir de forma assintomática e ser descobertas incidentalmente, quando sintomáticas causam dor lombar, </w:t>
      </w:r>
      <w:proofErr w:type="spellStart"/>
      <w:r w:rsidRPr="00EF4398">
        <w:rPr>
          <w:rFonts w:ascii="Arial" w:eastAsia="Times New Roman" w:hAnsi="Arial" w:cs="Arial"/>
          <w:lang w:eastAsia="pt-BR"/>
        </w:rPr>
        <w:t>radiculopatia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e prejuízo funcional significativo. O principal desafio na prática clínica reside em diferenciar suas características patofisiológicas, estabelecer a real correlação entre os achados radiográficos e os sintomas clínicos, e selecionar adequadamente a abordagem terapêutica conservadora ou cirúrgica sem gerar </w:t>
      </w:r>
      <w:proofErr w:type="spellStart"/>
      <w:r w:rsidRPr="00EF4398">
        <w:rPr>
          <w:rFonts w:ascii="Arial" w:eastAsia="Times New Roman" w:hAnsi="Arial" w:cs="Arial"/>
          <w:lang w:eastAsia="pt-BR"/>
        </w:rPr>
        <w:t>sobretratamento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ou descompressões insuficientes. </w:t>
      </w:r>
    </w:p>
    <w:p w14:paraId="32DD1675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Objetivo do capítulo</w:t>
      </w:r>
    </w:p>
    <w:p w14:paraId="66B35FE4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Este capítulo tem como objetivo capacitar o especialista na diferenciação diagnóstica e na estruturação do raciocínio terapêutico para a espondilolistese degenerativa e ístmica no adulto. O leitor adquirirá competências para realizar a correta avaliação clínica e por imagem, indicar o tratamento conservador de primeira linha e definir a conduta cirúrgica com base na presença de instabilidade e na necessidade de correção do alinhamento sagital. </w:t>
      </w:r>
    </w:p>
    <w:p w14:paraId="0A72A26C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Conteúdo principal</w:t>
      </w:r>
    </w:p>
    <w:p w14:paraId="6ACDAE9F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Epidemiologia e Fisiopatologia</w:t>
      </w:r>
      <w:r w:rsidRPr="00EF4398">
        <w:rPr>
          <w:rFonts w:ascii="Arial" w:eastAsia="Times New Roman" w:hAnsi="Arial" w:cs="Arial"/>
          <w:lang w:eastAsia="pt-BR"/>
        </w:rPr>
        <w:t xml:space="preserve"> A espondilolistese degenerativa (ED) caracteriza-se pelo deslizamento vertebral anterior ou posterior sem defeito na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pars</w:t>
      </w:r>
      <w:proofErr w:type="spellEnd"/>
      <w:r w:rsidRPr="00EF4398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interarticularis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decorrente do desgaste discal e articular. Apresenta prevalência de 17,4% na população geral, sendo mais frequente em mulheres acima de 50 anos e com acometimento predominante em L4–L5. A história natural é geralmente benigna, raramente ultrapassando o Grau II de </w:t>
      </w:r>
      <w:proofErr w:type="spellStart"/>
      <w:r w:rsidRPr="00EF4398">
        <w:rPr>
          <w:rFonts w:ascii="Arial" w:eastAsia="Times New Roman" w:hAnsi="Arial" w:cs="Arial"/>
          <w:lang w:eastAsia="pt-BR"/>
        </w:rPr>
        <w:t>Meyerding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com mecanismos corporais de estabilização via </w:t>
      </w:r>
      <w:proofErr w:type="spellStart"/>
      <w:r w:rsidRPr="00EF4398">
        <w:rPr>
          <w:rFonts w:ascii="Arial" w:eastAsia="Times New Roman" w:hAnsi="Arial" w:cs="Arial"/>
          <w:lang w:eastAsia="pt-BR"/>
        </w:rPr>
        <w:t>osteófitos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perda de altura discal e ossificação ligamentar. A espondilolistese ístmica (EI) resulta de alteração na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pars</w:t>
      </w:r>
      <w:proofErr w:type="spellEnd"/>
      <w:r w:rsidRPr="00EF4398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interarticularis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mais comum em homens e praticantes de </w:t>
      </w:r>
      <w:r w:rsidRPr="00EF4398">
        <w:rPr>
          <w:rFonts w:ascii="Arial" w:eastAsia="Times New Roman" w:hAnsi="Arial" w:cs="Arial"/>
          <w:lang w:eastAsia="pt-BR"/>
        </w:rPr>
        <w:lastRenderedPageBreak/>
        <w:t xml:space="preserve">esportes com hiperextensão repetitiva, afetando predominantemente a junção L5–S1. Origina-se frequentemente de espondilólise juvenil bilateral. </w:t>
      </w:r>
    </w:p>
    <w:p w14:paraId="6FB0FC1A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Avaliação Clínica e Diagnóstico por Imagem</w:t>
      </w:r>
      <w:r w:rsidRPr="00EF4398">
        <w:rPr>
          <w:rFonts w:ascii="Arial" w:eastAsia="Times New Roman" w:hAnsi="Arial" w:cs="Arial"/>
          <w:lang w:eastAsia="pt-BR"/>
        </w:rPr>
        <w:t xml:space="preserve"> Clinicamente, ambas as entidades podem apresentar dor lombar e </w:t>
      </w:r>
      <w:proofErr w:type="spellStart"/>
      <w:r w:rsidRPr="00EF4398">
        <w:rPr>
          <w:rFonts w:ascii="Arial" w:eastAsia="Times New Roman" w:hAnsi="Arial" w:cs="Arial"/>
          <w:lang w:eastAsia="pt-BR"/>
        </w:rPr>
        <w:t>radiculopatia</w:t>
      </w:r>
      <w:proofErr w:type="spellEnd"/>
      <w:r w:rsidRPr="00EF4398">
        <w:rPr>
          <w:rFonts w:ascii="Arial" w:eastAsia="Times New Roman" w:hAnsi="Arial" w:cs="Arial"/>
          <w:lang w:eastAsia="pt-BR"/>
        </w:rPr>
        <w:t>. A ED manifesta-se comumente com claudicação neurogênica decorrente de estenose central e do recesso lateral. A EI cursa comumente com espasmo dos isquiotibiais (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hamstring</w:t>
      </w:r>
      <w:proofErr w:type="spellEnd"/>
      <w:r w:rsidRPr="00EF4398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spasm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), enquanto claudicação e disfunções esfincterianas são raras. O diagnóstico inicial baseia-se em radiografias simples em </w:t>
      </w:r>
      <w:proofErr w:type="spellStart"/>
      <w:r w:rsidRPr="00EF4398">
        <w:rPr>
          <w:rFonts w:ascii="Arial" w:eastAsia="Times New Roman" w:hAnsi="Arial" w:cs="Arial"/>
          <w:lang w:eastAsia="pt-BR"/>
        </w:rPr>
        <w:t>ortostase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(AP e Perfil) e incidências dinâmicas em flexão-extensão para identificar o deslizamento e a instabilidade segmentar. A ressonância magnética (RM) é o exame de escolha para avaliar tecidos moles, estenose </w:t>
      </w:r>
      <w:proofErr w:type="spellStart"/>
      <w:r w:rsidRPr="00EF4398">
        <w:rPr>
          <w:rFonts w:ascii="Arial" w:eastAsia="Times New Roman" w:hAnsi="Arial" w:cs="Arial"/>
          <w:lang w:eastAsia="pt-BR"/>
        </w:rPr>
        <w:t>foraminal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e compressão neural. A tomografia computadorizada (TC) detalha a anatomia óssea, arcos pediculares e fraturas de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pars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. O SPECT possui indicação restrita para espondilólise oculta ou ativa. </w:t>
      </w:r>
    </w:p>
    <w:p w14:paraId="73C4527A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Manejo Conservador e Algoritmo Cirúrgico</w:t>
      </w:r>
      <w:r w:rsidRPr="00EF4398">
        <w:rPr>
          <w:rFonts w:ascii="Arial" w:eastAsia="Times New Roman" w:hAnsi="Arial" w:cs="Arial"/>
          <w:lang w:eastAsia="pt-BR"/>
        </w:rPr>
        <w:t xml:space="preserve"> O tratamento conservador é a primeira linha, envolvendo anti-inflamatórios, fisioterapia com exercícios de estabilização, perda de peso e injeções epidurais </w:t>
      </w:r>
      <w:proofErr w:type="spellStart"/>
      <w:r w:rsidRPr="00EF4398">
        <w:rPr>
          <w:rFonts w:ascii="Arial" w:eastAsia="Times New Roman" w:hAnsi="Arial" w:cs="Arial"/>
          <w:lang w:eastAsia="pt-BR"/>
        </w:rPr>
        <w:t>transforaminais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de corticosteroides (com maior eficácia demonstrada na ED). A cirurgia é indicada após falha do manejo conservador ou diante de déficit neurológico e instabilidade. </w:t>
      </w:r>
    </w:p>
    <w:p w14:paraId="4D9CF4DA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Nos casos de baixo grau (&lt; 50% de escorregamento), a conduta baseia-se na presença de instabilidade e na necessidade de correção do alinhamento sagital: </w:t>
      </w:r>
    </w:p>
    <w:p w14:paraId="196A23A4" w14:textId="77777777" w:rsidR="00EF4398" w:rsidRPr="00EF4398" w:rsidRDefault="00EF4398" w:rsidP="00EF4398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Sem instabilidade e sem desalinhamento:</w:t>
      </w:r>
      <w:r w:rsidRPr="00EF4398">
        <w:rPr>
          <w:rFonts w:ascii="Arial" w:eastAsia="Times New Roman" w:hAnsi="Arial" w:cs="Arial"/>
          <w:lang w:eastAsia="pt-BR"/>
        </w:rPr>
        <w:t xml:space="preserve"> descompressão isolada ou associada à artrodese. </w:t>
      </w:r>
    </w:p>
    <w:p w14:paraId="17E61941" w14:textId="77777777" w:rsidR="00EF4398" w:rsidRPr="00EF4398" w:rsidRDefault="00EF4398" w:rsidP="00EF4398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Com instabilidade e sem desalinhamento:</w:t>
      </w:r>
      <w:r w:rsidRPr="00EF4398">
        <w:rPr>
          <w:rFonts w:ascii="Arial" w:eastAsia="Times New Roman" w:hAnsi="Arial" w:cs="Arial"/>
          <w:lang w:eastAsia="pt-BR"/>
        </w:rPr>
        <w:t xml:space="preserve"> estabilização/fusão segmentar. </w:t>
      </w:r>
    </w:p>
    <w:p w14:paraId="7163A1CF" w14:textId="77777777" w:rsidR="00EF4398" w:rsidRPr="00EF4398" w:rsidRDefault="00EF4398" w:rsidP="00EF4398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Com necessidade de correção sagital:</w:t>
      </w:r>
      <w:r w:rsidRPr="00EF4398">
        <w:rPr>
          <w:rFonts w:ascii="Arial" w:eastAsia="Times New Roman" w:hAnsi="Arial" w:cs="Arial"/>
          <w:lang w:eastAsia="pt-BR"/>
        </w:rPr>
        <w:t xml:space="preserve"> o uso de dispositivos </w:t>
      </w:r>
      <w:proofErr w:type="spellStart"/>
      <w:r w:rsidRPr="00EF4398">
        <w:rPr>
          <w:rFonts w:ascii="Arial" w:eastAsia="Times New Roman" w:hAnsi="Arial" w:cs="Arial"/>
          <w:lang w:eastAsia="pt-BR"/>
        </w:rPr>
        <w:t>intersomáticos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por via anterior (ALIF, LLIF, OLIF) ou lateral em posição prona (PTP) é recomendado para restaurar a lordose e a altura discal (Figura 1). </w:t>
      </w:r>
    </w:p>
    <w:p w14:paraId="1643822E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Nas lesões de alto grau (&gt; 50%), o objetivo reside na descompressão e estabilização. A redução parcial é indicada quando necessária para correção do alinhamento sagital ou estética, devendo ser executada com descompressão ampla para prevenir lesões radiculares. Em fusões sem redução, recomenda-se a extensão da fixação até L4 e o uso de parafusos S2-Alar-Ilíacos. </w:t>
      </w:r>
    </w:p>
    <w:p w14:paraId="36E5DB7B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Perspectivas Futuras</w:t>
      </w:r>
      <w:r w:rsidRPr="00EF4398">
        <w:rPr>
          <w:rFonts w:ascii="Arial" w:eastAsia="Times New Roman" w:hAnsi="Arial" w:cs="Arial"/>
          <w:lang w:eastAsia="pt-BR"/>
        </w:rPr>
        <w:t xml:space="preserve"> A evolução da cirurgia de coluna abrange a integração de navegação, robótica, endoscopia avançada, a consolidação de acessos como PTP e a aplicação de algoritmos de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machine</w:t>
      </w:r>
      <w:proofErr w:type="spellEnd"/>
      <w:r w:rsidRPr="00EF4398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learning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para predição de desfechos. </w:t>
      </w:r>
    </w:p>
    <w:p w14:paraId="2B21BD13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Aplicação clínica</w:t>
      </w:r>
    </w:p>
    <w:p w14:paraId="485F4F01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lastRenderedPageBreak/>
        <w:t xml:space="preserve">Na prática clínica, a abordagem da espondilolistese no adulto exige correlacionar rigorosamente os achados de imagem com a sintomatologia do paciente, prevenindo intervenções cirúrgicas baseadas exclusivamente no percentual de escorregamento radiográfico. No planejamento terapêutico, as radiografias dinâmicas em </w:t>
      </w:r>
      <w:proofErr w:type="spellStart"/>
      <w:r w:rsidRPr="00EF4398">
        <w:rPr>
          <w:rFonts w:ascii="Arial" w:eastAsia="Times New Roman" w:hAnsi="Arial" w:cs="Arial"/>
          <w:lang w:eastAsia="pt-BR"/>
        </w:rPr>
        <w:t>ortostase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definem a estabilidade segmentar, enquanto a ressonância magnética delimita o comprometimento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neuroforaminal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e central. </w:t>
      </w:r>
    </w:p>
    <w:p w14:paraId="0B66AFAF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A decisão entre descompressão isolada e fusão articula-se a partir de dois parâmetros essenciais: a presença de instabilidade mecânica e a necessidade de restauração do alinhamento sagital (regional e global). O cirurgião deve exercer especial cautela na seleção de acessos </w:t>
      </w:r>
      <w:proofErr w:type="spellStart"/>
      <w:r w:rsidRPr="00EF4398">
        <w:rPr>
          <w:rFonts w:ascii="Arial" w:eastAsia="Times New Roman" w:hAnsi="Arial" w:cs="Arial"/>
          <w:lang w:eastAsia="pt-BR"/>
        </w:rPr>
        <w:t>intersomáticos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standalone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haja vista o risco de subsidência do espaçador em pacientes com má qualidade óssea ou idade avançada. Nas técnicas de acesso anterior e lateral (como ALIF, LLIF e PTP), o ganho em lordose e altura discal reduz a sobrecarga do nível adjacente e falhas mecânicas (Tabela 4). Em casos de alto grau, a tentativa de redução completa deve ser evitada ou realizada com extrema prudência e descompressão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neuroforaminal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ampla, dado o elevado risco de tração e lesão iatrogênica das raízes nervosas. </w:t>
      </w:r>
    </w:p>
    <w:p w14:paraId="7D6E89A3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Mensagem central</w:t>
      </w:r>
    </w:p>
    <w:p w14:paraId="14A333D8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A espondilolistese no adulto compreende a forma degenerativa e a ístmica, que exigem condutas individualizadas baseadas na sintomatologia, na instabilidade e no alinhamento sagital, e não apenas no grau de deslizamento. O tratamento conservador constitui a abordagem inicial, reservando-se a cirurgia para falhas terapêuticas ou déficits neurológicos. Em procedimentos operatórios, a preservação do alinhamento sagital e a descompressão segura são determinantes para o sucesso. </w:t>
      </w:r>
    </w:p>
    <w:p w14:paraId="5408A23C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Por que este capítulo importa</w:t>
      </w:r>
    </w:p>
    <w:p w14:paraId="6A44BD8C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Este capítulo é essencial para a prática do cirurgião de coluna por sistematizar a tomada de decisão cirúrgica na espondilolistese do adulto. Ao estabelecer critérios claros baseados em instabilidade e alinhamento sagital, o texto orienta a escolha precisa entre descompressão isolada, fusão posterior e acessos </w:t>
      </w:r>
      <w:proofErr w:type="spellStart"/>
      <w:r w:rsidRPr="00EF4398">
        <w:rPr>
          <w:rFonts w:ascii="Arial" w:eastAsia="Times New Roman" w:hAnsi="Arial" w:cs="Arial"/>
          <w:lang w:eastAsia="pt-BR"/>
        </w:rPr>
        <w:t>intersomáticos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anteriores ou laterais (como a técnica PTP). Além disso, fornece recomendações práticas de segurança para a prevenção de complicações neurológicas e falhas mecânicas em casos de baixo e alto grau. </w:t>
      </w:r>
    </w:p>
    <w:p w14:paraId="6A289752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Palavras-chave e descritores</w:t>
      </w:r>
    </w:p>
    <w:p w14:paraId="32422179" w14:textId="77777777" w:rsidR="00EF4398" w:rsidRPr="00EF4398" w:rsidRDefault="00EF4398" w:rsidP="00EF4398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 xml:space="preserve">Descritores </w:t>
      </w:r>
      <w:proofErr w:type="spellStart"/>
      <w:r w:rsidRPr="00EF4398">
        <w:rPr>
          <w:rFonts w:ascii="Arial" w:eastAsia="Times New Roman" w:hAnsi="Arial" w:cs="Arial"/>
          <w:b/>
          <w:bCs/>
          <w:lang w:eastAsia="pt-BR"/>
        </w:rPr>
        <w:t>DeCS</w:t>
      </w:r>
      <w:proofErr w:type="spellEnd"/>
      <w:r w:rsidRPr="00EF4398">
        <w:rPr>
          <w:rFonts w:ascii="Arial" w:eastAsia="Times New Roman" w:hAnsi="Arial" w:cs="Arial"/>
          <w:b/>
          <w:bCs/>
          <w:lang w:eastAsia="pt-BR"/>
        </w:rPr>
        <w:t xml:space="preserve"> (</w:t>
      </w:r>
      <w:proofErr w:type="gramStart"/>
      <w:r w:rsidRPr="00EF4398">
        <w:rPr>
          <w:rFonts w:ascii="Arial" w:eastAsia="Times New Roman" w:hAnsi="Arial" w:cs="Arial"/>
          <w:b/>
          <w:bCs/>
          <w:lang w:eastAsia="pt-BR"/>
        </w:rPr>
        <w:t>Português</w:t>
      </w:r>
      <w:proofErr w:type="gramEnd"/>
      <w:r w:rsidRPr="00EF4398">
        <w:rPr>
          <w:rFonts w:ascii="Arial" w:eastAsia="Times New Roman" w:hAnsi="Arial" w:cs="Arial"/>
          <w:b/>
          <w:bCs/>
          <w:lang w:eastAsia="pt-BR"/>
        </w:rPr>
        <w:t>):</w:t>
      </w:r>
      <w:r w:rsidRPr="00EF4398">
        <w:rPr>
          <w:rFonts w:ascii="Arial" w:eastAsia="Times New Roman" w:hAnsi="Arial" w:cs="Arial"/>
          <w:lang w:eastAsia="pt-BR"/>
        </w:rPr>
        <w:t xml:space="preserve"> Espondilolistese; Coluna Vertebral; Deslocamento do Disco Intervertebral; Fusão Vertebral; Procedimentos Cirúrgicos Minimamente Invasivos.</w:t>
      </w:r>
    </w:p>
    <w:p w14:paraId="2E0ADC06" w14:textId="77777777" w:rsidR="00EF4398" w:rsidRPr="00EF4398" w:rsidRDefault="00EF4398" w:rsidP="00EF4398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lang w:val="en-US" w:eastAsia="pt-BR"/>
        </w:rPr>
      </w:pPr>
      <w:proofErr w:type="spellStart"/>
      <w:r w:rsidRPr="00EF4398">
        <w:rPr>
          <w:rFonts w:ascii="Arial" w:eastAsia="Times New Roman" w:hAnsi="Arial" w:cs="Arial"/>
          <w:b/>
          <w:bCs/>
          <w:lang w:val="en-US" w:eastAsia="pt-BR"/>
        </w:rPr>
        <w:t>Descritores</w:t>
      </w:r>
      <w:proofErr w:type="spellEnd"/>
      <w:r w:rsidRPr="00EF4398">
        <w:rPr>
          <w:rFonts w:ascii="Arial" w:eastAsia="Times New Roman" w:hAnsi="Arial" w:cs="Arial"/>
          <w:b/>
          <w:bCs/>
          <w:lang w:val="en-US"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b/>
          <w:bCs/>
          <w:lang w:val="en-US" w:eastAsia="pt-BR"/>
        </w:rPr>
        <w:t>MeSH</w:t>
      </w:r>
      <w:proofErr w:type="spellEnd"/>
      <w:r w:rsidRPr="00EF4398">
        <w:rPr>
          <w:rFonts w:ascii="Arial" w:eastAsia="Times New Roman" w:hAnsi="Arial" w:cs="Arial"/>
          <w:b/>
          <w:bCs/>
          <w:lang w:val="en-US" w:eastAsia="pt-BR"/>
        </w:rPr>
        <w:t xml:space="preserve"> (</w:t>
      </w:r>
      <w:proofErr w:type="spellStart"/>
      <w:r w:rsidRPr="00EF4398">
        <w:rPr>
          <w:rFonts w:ascii="Arial" w:eastAsia="Times New Roman" w:hAnsi="Arial" w:cs="Arial"/>
          <w:b/>
          <w:bCs/>
          <w:lang w:val="en-US" w:eastAsia="pt-BR"/>
        </w:rPr>
        <w:t>Inglês</w:t>
      </w:r>
      <w:proofErr w:type="spellEnd"/>
      <w:r w:rsidRPr="00EF4398">
        <w:rPr>
          <w:rFonts w:ascii="Arial" w:eastAsia="Times New Roman" w:hAnsi="Arial" w:cs="Arial"/>
          <w:b/>
          <w:bCs/>
          <w:lang w:val="en-US" w:eastAsia="pt-BR"/>
        </w:rPr>
        <w:t>):</w:t>
      </w:r>
      <w:r w:rsidRPr="00EF4398">
        <w:rPr>
          <w:rFonts w:ascii="Arial" w:eastAsia="Times New Roman" w:hAnsi="Arial" w:cs="Arial"/>
          <w:lang w:val="en-US" w:eastAsia="pt-BR"/>
        </w:rPr>
        <w:t xml:space="preserve"> Spondylolisthesis; Spine; Intervertebral Disc Displacement; Spinal Fusion; Minimally Invasive Surgical Procedures.</w:t>
      </w:r>
    </w:p>
    <w:p w14:paraId="71A7AD71" w14:textId="77777777" w:rsidR="00EF4398" w:rsidRPr="00EF4398" w:rsidRDefault="00EF4398" w:rsidP="00EF4398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lastRenderedPageBreak/>
        <w:t>Palavras-chave livres:</w:t>
      </w:r>
      <w:r w:rsidRPr="00EF4398">
        <w:rPr>
          <w:rFonts w:ascii="Arial" w:eastAsia="Times New Roman" w:hAnsi="Arial" w:cs="Arial"/>
          <w:lang w:eastAsia="pt-BR"/>
        </w:rPr>
        <w:t xml:space="preserve"> Espondilolistese Degenerativa; Espondilolistese Ístmica; Fusão </w:t>
      </w:r>
      <w:proofErr w:type="spellStart"/>
      <w:r w:rsidRPr="00EF4398">
        <w:rPr>
          <w:rFonts w:ascii="Arial" w:eastAsia="Times New Roman" w:hAnsi="Arial" w:cs="Arial"/>
          <w:lang w:eastAsia="pt-BR"/>
        </w:rPr>
        <w:t>Transpsoas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em Posição Prona (PTP); Alinhamento Sagital.</w:t>
      </w:r>
    </w:p>
    <w:p w14:paraId="48B5AB08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Três cards de destaque</w:t>
      </w:r>
    </w:p>
    <w:p w14:paraId="7C6F29CB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Card 1 — Conceito essencial</w:t>
      </w:r>
    </w:p>
    <w:p w14:paraId="4FA3536C" w14:textId="77777777" w:rsidR="00EF4398" w:rsidRPr="00EF4398" w:rsidRDefault="00EF4398" w:rsidP="00EF4398">
      <w:pPr>
        <w:numPr>
          <w:ilvl w:val="0"/>
          <w:numId w:val="12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Título:</w:t>
      </w:r>
      <w:r w:rsidRPr="00EF4398">
        <w:rPr>
          <w:rFonts w:ascii="Arial" w:eastAsia="Times New Roman" w:hAnsi="Arial" w:cs="Arial"/>
          <w:lang w:eastAsia="pt-BR"/>
        </w:rPr>
        <w:t xml:space="preserve"> Etiologias Distintas na Espondilolistese Adulta</w:t>
      </w:r>
    </w:p>
    <w:p w14:paraId="47C427AE" w14:textId="77777777" w:rsidR="00EF4398" w:rsidRPr="00EF4398" w:rsidRDefault="00EF4398" w:rsidP="00EF4398">
      <w:pPr>
        <w:numPr>
          <w:ilvl w:val="0"/>
          <w:numId w:val="12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Texto:</w:t>
      </w:r>
      <w:r w:rsidRPr="00EF4398">
        <w:rPr>
          <w:rFonts w:ascii="Arial" w:eastAsia="Times New Roman" w:hAnsi="Arial" w:cs="Arial"/>
          <w:lang w:eastAsia="pt-BR"/>
        </w:rPr>
        <w:t xml:space="preserve"> A espondilolistese degenerativa origina-se da deterioração discal e articular, afetando principalmente mulheres acima de 50 anos em L4–L5 sem defeito de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pars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. A espondilolistese ístmica resulta de fratura ou defeito na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pars</w:t>
      </w:r>
      <w:proofErr w:type="spellEnd"/>
      <w:r w:rsidRPr="00EF4398">
        <w:rPr>
          <w:rFonts w:ascii="Arial" w:eastAsia="Times New Roman" w:hAnsi="Arial" w:cs="Arial"/>
          <w:i/>
          <w:iCs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i/>
          <w:iCs/>
          <w:lang w:eastAsia="pt-BR"/>
        </w:rPr>
        <w:t>interarticularis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, predominando em homens e jovens praticantes de esportes com hiperextensão, ocorrendo mais comumente em L5–S1. </w:t>
      </w:r>
    </w:p>
    <w:p w14:paraId="4B33290F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Card 2 — Decisão clínica</w:t>
      </w:r>
    </w:p>
    <w:p w14:paraId="04BAFF0B" w14:textId="77777777" w:rsidR="00EF4398" w:rsidRPr="00EF4398" w:rsidRDefault="00EF4398" w:rsidP="00EF4398">
      <w:pPr>
        <w:numPr>
          <w:ilvl w:val="0"/>
          <w:numId w:val="13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Título:</w:t>
      </w:r>
      <w:r w:rsidRPr="00EF4398">
        <w:rPr>
          <w:rFonts w:ascii="Arial" w:eastAsia="Times New Roman" w:hAnsi="Arial" w:cs="Arial"/>
          <w:lang w:eastAsia="pt-BR"/>
        </w:rPr>
        <w:t xml:space="preserve"> Algoritmo Cirúrgico no Baixo Grau</w:t>
      </w:r>
    </w:p>
    <w:p w14:paraId="14D6ED44" w14:textId="77777777" w:rsidR="00EF4398" w:rsidRPr="00EF4398" w:rsidRDefault="00EF4398" w:rsidP="00EF4398">
      <w:pPr>
        <w:numPr>
          <w:ilvl w:val="0"/>
          <w:numId w:val="13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Texto:</w:t>
      </w:r>
      <w:r w:rsidRPr="00EF4398">
        <w:rPr>
          <w:rFonts w:ascii="Arial" w:eastAsia="Times New Roman" w:hAnsi="Arial" w:cs="Arial"/>
          <w:lang w:eastAsia="pt-BR"/>
        </w:rPr>
        <w:t xml:space="preserve"> Nas espondilolisteses de baixo grau (&lt; 50%), a escolha cirúrgica independe apenas do deslizamento. Pacientes sem instabilidade ou desalinhamento podem receber descompressão isolada. Havendo instabilidade ou necessidade de correção da lordose, recomendam-se técnicas de fusão com dispositivos </w:t>
      </w:r>
      <w:proofErr w:type="spellStart"/>
      <w:r w:rsidRPr="00EF4398">
        <w:rPr>
          <w:rFonts w:ascii="Arial" w:eastAsia="Times New Roman" w:hAnsi="Arial" w:cs="Arial"/>
          <w:lang w:eastAsia="pt-BR"/>
        </w:rPr>
        <w:t>intersomáticos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anteriores ou laterais (ALIF, LLIF, PTP) para restauração do equilíbrio sagital. </w:t>
      </w:r>
    </w:p>
    <w:p w14:paraId="1458F9E3" w14:textId="77777777" w:rsidR="00EF4398" w:rsidRPr="00EF4398" w:rsidRDefault="00EF4398" w:rsidP="00EF4398">
      <w:p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Card 3 — Pérola ou alerta</w:t>
      </w:r>
    </w:p>
    <w:p w14:paraId="34772513" w14:textId="77777777" w:rsidR="00EF4398" w:rsidRPr="00EF4398" w:rsidRDefault="00EF4398" w:rsidP="00EF4398">
      <w:pPr>
        <w:numPr>
          <w:ilvl w:val="0"/>
          <w:numId w:val="14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Título:</w:t>
      </w:r>
      <w:r w:rsidRPr="00EF4398">
        <w:rPr>
          <w:rFonts w:ascii="Arial" w:eastAsia="Times New Roman" w:hAnsi="Arial" w:cs="Arial"/>
          <w:lang w:eastAsia="pt-BR"/>
        </w:rPr>
        <w:t xml:space="preserve"> Riscos da Redução em Alto Grau</w:t>
      </w:r>
    </w:p>
    <w:p w14:paraId="59D618CD" w14:textId="77777777" w:rsidR="00EF4398" w:rsidRPr="00EF4398" w:rsidRDefault="00EF4398" w:rsidP="00EF4398">
      <w:pPr>
        <w:numPr>
          <w:ilvl w:val="0"/>
          <w:numId w:val="14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Texto:</w:t>
      </w:r>
      <w:r w:rsidRPr="00EF4398">
        <w:rPr>
          <w:rFonts w:ascii="Arial" w:eastAsia="Times New Roman" w:hAnsi="Arial" w:cs="Arial"/>
          <w:lang w:eastAsia="pt-BR"/>
        </w:rPr>
        <w:t xml:space="preserve"> Em espondilolisteses de alto grau (&gt; 50%), a busca por redução completa do deslizamento eleva expressivamente o risco de tração e lesão das raízes nervosas. A prioridade deve ser a descompressão ampla e a fixação sólida. Caso seja realizada redução parcial, a liberação neural prévia é indispensável. </w:t>
      </w:r>
    </w:p>
    <w:p w14:paraId="05825495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Referências bibliográficas</w:t>
      </w:r>
    </w:p>
    <w:p w14:paraId="73F37F04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Wang YXJ,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Káplár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Z, Deng M, Leung JCS. Lumbar degenerative spondylolisthesis epidemiology: A systematic review with a focus on gender-specific and age-specific prevalence. </w:t>
      </w:r>
      <w:r w:rsidRPr="00EF4398">
        <w:rPr>
          <w:rFonts w:ascii="Arial" w:eastAsia="Times New Roman" w:hAnsi="Arial" w:cs="Arial"/>
          <w:lang w:eastAsia="pt-BR"/>
        </w:rPr>
        <w:t xml:space="preserve">J </w:t>
      </w:r>
      <w:proofErr w:type="spellStart"/>
      <w:r w:rsidRPr="00EF4398">
        <w:rPr>
          <w:rFonts w:ascii="Arial" w:eastAsia="Times New Roman" w:hAnsi="Arial" w:cs="Arial"/>
          <w:lang w:eastAsia="pt-BR"/>
        </w:rPr>
        <w:t>Orthop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Translat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2017; 11: 39–52. </w:t>
      </w:r>
    </w:p>
    <w:p w14:paraId="5F5CA0B5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eastAsia="pt-BR"/>
        </w:rPr>
        <w:t>Atalay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B, </w:t>
      </w:r>
      <w:proofErr w:type="spellStart"/>
      <w:r w:rsidRPr="00EF4398">
        <w:rPr>
          <w:rFonts w:ascii="Arial" w:eastAsia="Times New Roman" w:hAnsi="Arial" w:cs="Arial"/>
          <w:lang w:eastAsia="pt-BR"/>
        </w:rPr>
        <w:t>Gadjradj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PS, </w:t>
      </w:r>
      <w:proofErr w:type="spellStart"/>
      <w:r w:rsidRPr="00EF4398">
        <w:rPr>
          <w:rFonts w:ascii="Arial" w:eastAsia="Times New Roman" w:hAnsi="Arial" w:cs="Arial"/>
          <w:lang w:eastAsia="pt-BR"/>
        </w:rPr>
        <w:t>Sommer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FS, Wright D, </w:t>
      </w:r>
      <w:proofErr w:type="spellStart"/>
      <w:r w:rsidRPr="00EF4398">
        <w:rPr>
          <w:rFonts w:ascii="Arial" w:eastAsia="Times New Roman" w:hAnsi="Arial" w:cs="Arial"/>
          <w:lang w:eastAsia="pt-BR"/>
        </w:rPr>
        <w:t>Rawanduzy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C, </w:t>
      </w:r>
      <w:proofErr w:type="spellStart"/>
      <w:r w:rsidRPr="00EF4398">
        <w:rPr>
          <w:rFonts w:ascii="Arial" w:eastAsia="Times New Roman" w:hAnsi="Arial" w:cs="Arial"/>
          <w:lang w:eastAsia="pt-BR"/>
        </w:rPr>
        <w:t>Ghogawala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Z et al. </w:t>
      </w:r>
      <w:r w:rsidRPr="00EF4398">
        <w:rPr>
          <w:rFonts w:ascii="Arial" w:eastAsia="Times New Roman" w:hAnsi="Arial" w:cs="Arial"/>
          <w:lang w:val="en-US" w:eastAsia="pt-BR"/>
        </w:rPr>
        <w:t xml:space="preserve">Natural History of Degenerative Spondylolisthesis: A Systematic Review and Meta-analysis. </w:t>
      </w:r>
      <w:r w:rsidRPr="00EF4398">
        <w:rPr>
          <w:rFonts w:ascii="Arial" w:eastAsia="Times New Roman" w:hAnsi="Arial" w:cs="Arial"/>
          <w:lang w:eastAsia="pt-BR"/>
        </w:rPr>
        <w:t xml:space="preserve">World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2023; 176: e634–e643. </w:t>
      </w:r>
    </w:p>
    <w:p w14:paraId="7F8E1B17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Bydon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M,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Alvi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MA, Goyal A. Degenerative Lumbar Spondylolisthesis: Definition, Natural History, Conservative Management, and Surgical Treatment.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Clin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N Am 2019; 30: 299–304. </w:t>
      </w:r>
    </w:p>
    <w:p w14:paraId="09B22B4F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lastRenderedPageBreak/>
        <w:t xml:space="preserve">Chan AK, Sharma V, Robinson LC,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Mummaneni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PV. Summary of Guidelines for the Treatment of Lumbar Spondylolisthesis.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Clin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N Am 2019; 30: 353–364. </w:t>
      </w:r>
    </w:p>
    <w:p w14:paraId="1334232F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Alomari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S, Judy B,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Sacino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AN, Porras JL, Tang A,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Sciubba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D et al. Isthmic spondylolisthesis in adults… A review of the current literature.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of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Clinical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Neuroscience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2022; 101: 124–130. </w:t>
      </w:r>
    </w:p>
    <w:p w14:paraId="52367F5D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Bhalla A, Bono CM. Isthmic Lumbar Spondylolisthesis.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Clin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N Am 2019; 30: 283–290. </w:t>
      </w:r>
    </w:p>
    <w:p w14:paraId="0FC102F5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Arita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S, Ishimoto Y,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Hashizume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H, Nagata K,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Teraguchi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M,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Muraki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 et al. Age-related prevalence of radiographic lumbar spondylolisthesis and its associations with low back pain, walking speed, and muscle index: findings from the second survey of the ROAD study. </w:t>
      </w:r>
      <w:proofErr w:type="spellStart"/>
      <w:r w:rsidRPr="00EF4398">
        <w:rPr>
          <w:rFonts w:ascii="Arial" w:eastAsia="Times New Roman" w:hAnsi="Arial" w:cs="Arial"/>
          <w:lang w:eastAsia="pt-BR"/>
        </w:rPr>
        <w:t>European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2025; 34: 1359–1365. </w:t>
      </w:r>
    </w:p>
    <w:p w14:paraId="7A9B2141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Kreiner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DS, Baisden J,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Mazanec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DJ, Patel RD, Bess RS, Burton D et al. Guideline summary review: an evidence-based clinical guideline for the diagnosis and treatment of adult isthmic spondylolisthesis. </w:t>
      </w:r>
      <w:r w:rsidRPr="00EF4398">
        <w:rPr>
          <w:rFonts w:ascii="Arial" w:eastAsia="Times New Roman" w:hAnsi="Arial" w:cs="Arial"/>
          <w:lang w:eastAsia="pt-BR"/>
        </w:rPr>
        <w:t xml:space="preserve">The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2016; 16: 1478–1485. </w:t>
      </w:r>
    </w:p>
    <w:p w14:paraId="2C57B9EB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Karsy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M, Bisson EF. Surgical Versus Nonsurgical Treatment of Lumbar Spondylolisthesis.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Clin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N Am 2019; 30: 333–340. </w:t>
      </w:r>
    </w:p>
    <w:p w14:paraId="3C84373A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val="en-US"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Reitman CA, Cho CH, Bono CM,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Ghogawala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Z, Glaser J, Kauffman C et al. Management of degenerative spondylolisthesis: development of appropriate use criteria. The Spine Journal 2021; 21: 1256–1267. </w:t>
      </w:r>
    </w:p>
    <w:p w14:paraId="37477128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Gadjradj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PS,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Basilious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M, Goldberg JL, Sommer F, Navarro-Ramirez R,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Mykolajtchuk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C et al. Decompression alone versus decompression with fusion in patients with lumbar spinal stenosis with degenerative spondylolisthesis: a systematic review and meta-analysis. </w:t>
      </w:r>
      <w:proofErr w:type="spellStart"/>
      <w:r w:rsidRPr="00EF4398">
        <w:rPr>
          <w:rFonts w:ascii="Arial" w:eastAsia="Times New Roman" w:hAnsi="Arial" w:cs="Arial"/>
          <w:lang w:eastAsia="pt-BR"/>
        </w:rPr>
        <w:t>European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2023; 32: 1054–1067. </w:t>
      </w:r>
    </w:p>
    <w:p w14:paraId="4ACCD124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Noorian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S, Sorensen K, Cho W. A systematic review of clinical outcomes in surgical treatment of adult isthmic spondylolisthesis. </w:t>
      </w:r>
      <w:r w:rsidRPr="00EF4398">
        <w:rPr>
          <w:rFonts w:ascii="Arial" w:eastAsia="Times New Roman" w:hAnsi="Arial" w:cs="Arial"/>
          <w:lang w:eastAsia="pt-BR"/>
        </w:rPr>
        <w:t xml:space="preserve">The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2018; 18: 1441–1454. </w:t>
      </w:r>
    </w:p>
    <w:p w14:paraId="2E80221A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Sastry RA, Levy JF, Chen JS, Weil RJ,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Oyelese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AA, Fridley JS et al. Lumbar Decompression with and Without Fusion for Lumbar Stenosis with Spondylolisthesis: A Cost Utility Analysis.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(</w:t>
      </w:r>
      <w:proofErr w:type="spellStart"/>
      <w:r w:rsidRPr="00EF4398">
        <w:rPr>
          <w:rFonts w:ascii="Arial" w:eastAsia="Times New Roman" w:hAnsi="Arial" w:cs="Arial"/>
          <w:lang w:eastAsia="pt-BR"/>
        </w:rPr>
        <w:t>Phila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Pa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1976) 2024; 49: 847–856. </w:t>
      </w:r>
    </w:p>
    <w:p w14:paraId="04A918FD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Ahlquist S, Park HY,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Gatto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J,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Shamie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AN, Park DY. Does approach matter? A comparative radiographic analysis of spinopelvic parameters in single-level lumbar fusion.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2018; 18: 1999–2008. </w:t>
      </w:r>
    </w:p>
    <w:p w14:paraId="663057B5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Amaral R, </w:t>
      </w:r>
      <w:proofErr w:type="spellStart"/>
      <w:r w:rsidRPr="00EF4398">
        <w:rPr>
          <w:rFonts w:ascii="Arial" w:eastAsia="Times New Roman" w:hAnsi="Arial" w:cs="Arial"/>
          <w:lang w:eastAsia="pt-BR"/>
        </w:rPr>
        <w:t>Pokorny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G, Marcelino F, </w:t>
      </w:r>
      <w:proofErr w:type="spellStart"/>
      <w:r w:rsidRPr="00EF4398">
        <w:rPr>
          <w:rFonts w:ascii="Arial" w:eastAsia="Times New Roman" w:hAnsi="Arial" w:cs="Arial"/>
          <w:lang w:eastAsia="pt-BR"/>
        </w:rPr>
        <w:t>Moriguchi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R, </w:t>
      </w:r>
      <w:proofErr w:type="spellStart"/>
      <w:r w:rsidRPr="00EF4398">
        <w:rPr>
          <w:rFonts w:ascii="Arial" w:eastAsia="Times New Roman" w:hAnsi="Arial" w:cs="Arial"/>
          <w:lang w:eastAsia="pt-BR"/>
        </w:rPr>
        <w:t>Pokorny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J, Barreira I et al. </w:t>
      </w:r>
      <w:r w:rsidRPr="00EF4398">
        <w:rPr>
          <w:rFonts w:ascii="Arial" w:eastAsia="Times New Roman" w:hAnsi="Arial" w:cs="Arial"/>
          <w:lang w:val="en-US" w:eastAsia="pt-BR"/>
        </w:rPr>
        <w:t xml:space="preserve">Lateral versus posterior approaches to treat degenerative lumbar pathologies–systematic review and meta-analysis of recent literature. </w:t>
      </w:r>
      <w:proofErr w:type="spellStart"/>
      <w:r w:rsidRPr="00EF4398">
        <w:rPr>
          <w:rFonts w:ascii="Arial" w:eastAsia="Times New Roman" w:hAnsi="Arial" w:cs="Arial"/>
          <w:lang w:eastAsia="pt-BR"/>
        </w:rPr>
        <w:t>European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2023; 32: 1655–1677. </w:t>
      </w:r>
    </w:p>
    <w:p w14:paraId="67A1A4A0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Marchi L, </w:t>
      </w:r>
      <w:proofErr w:type="spellStart"/>
      <w:r w:rsidRPr="00EF4398">
        <w:rPr>
          <w:rFonts w:ascii="Arial" w:eastAsia="Times New Roman" w:hAnsi="Arial" w:cs="Arial"/>
          <w:lang w:eastAsia="pt-BR"/>
        </w:rPr>
        <w:t>Fortti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F, Jensen R, Amaral RA, Coutinho E, Oliveira L et al. </w:t>
      </w:r>
      <w:r w:rsidRPr="00EF4398">
        <w:rPr>
          <w:rFonts w:ascii="Arial" w:eastAsia="Times New Roman" w:hAnsi="Arial" w:cs="Arial"/>
          <w:lang w:val="en-US" w:eastAsia="pt-BR"/>
        </w:rPr>
        <w:t xml:space="preserve">Stand-Alone Lateral Lumbar Interbody Fusion: Preoperative Risk Factors for Subsidence. </w:t>
      </w:r>
      <w:r w:rsidRPr="00EF4398">
        <w:rPr>
          <w:rFonts w:ascii="Arial" w:eastAsia="Times New Roman" w:hAnsi="Arial" w:cs="Arial"/>
          <w:lang w:eastAsia="pt-BR"/>
        </w:rPr>
        <w:t xml:space="preserve">The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2016; 16: S267. </w:t>
      </w:r>
    </w:p>
    <w:p w14:paraId="3F358137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Oliveira L,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Marchi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L, Coutinho E,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Pimenta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L. The subsidence rate in XLIF osteoporotic patients in standalone procedures. </w:t>
      </w:r>
      <w:r w:rsidRPr="00EF4398">
        <w:rPr>
          <w:rFonts w:ascii="Arial" w:eastAsia="Times New Roman" w:hAnsi="Arial" w:cs="Arial"/>
          <w:lang w:eastAsia="pt-BR"/>
        </w:rPr>
        <w:t xml:space="preserve">The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2010; 10: S51–S52. </w:t>
      </w:r>
    </w:p>
    <w:p w14:paraId="02AAF4D3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Oliveira L,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Marchi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L, Coutinho E,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Pimenta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L. Standalone anterior interbody fusion procedure for the treatment of low-grade spondylolisthesis: a case series. </w:t>
      </w:r>
      <w:r w:rsidRPr="00EF4398">
        <w:rPr>
          <w:rFonts w:ascii="Arial" w:eastAsia="Times New Roman" w:hAnsi="Arial" w:cs="Arial"/>
          <w:lang w:eastAsia="pt-BR"/>
        </w:rPr>
        <w:t xml:space="preserve">WSC J 2010; 1: 194–200. </w:t>
      </w:r>
    </w:p>
    <w:p w14:paraId="737EEDF5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lastRenderedPageBreak/>
        <w:t xml:space="preserve">Marchi L, Pimenta L, Amaral R, </w:t>
      </w:r>
      <w:proofErr w:type="spellStart"/>
      <w:r w:rsidRPr="00EF4398">
        <w:rPr>
          <w:rFonts w:ascii="Arial" w:eastAsia="Times New Roman" w:hAnsi="Arial" w:cs="Arial"/>
          <w:lang w:eastAsia="pt-BR"/>
        </w:rPr>
        <w:t>Fortti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F, Nogueira-Neto J, Oliveira L et al. </w:t>
      </w:r>
      <w:r w:rsidRPr="00EF4398">
        <w:rPr>
          <w:rFonts w:ascii="Arial" w:eastAsia="Times New Roman" w:hAnsi="Arial" w:cs="Arial"/>
          <w:lang w:val="en-US" w:eastAsia="pt-BR"/>
        </w:rPr>
        <w:t xml:space="preserve">In which patients is it possible to perform standalone lateral lumbar interbody fusion without cage subsidence? </w:t>
      </w:r>
      <w:r w:rsidRPr="00EF4398">
        <w:rPr>
          <w:rFonts w:ascii="Arial" w:eastAsia="Times New Roman" w:hAnsi="Arial" w:cs="Arial"/>
          <w:lang w:eastAsia="pt-BR"/>
        </w:rPr>
        <w:t>Coluna/</w:t>
      </w:r>
      <w:proofErr w:type="spellStart"/>
      <w:r w:rsidRPr="00EF4398">
        <w:rPr>
          <w:rFonts w:ascii="Arial" w:eastAsia="Times New Roman" w:hAnsi="Arial" w:cs="Arial"/>
          <w:lang w:eastAsia="pt-BR"/>
        </w:rPr>
        <w:t>Columna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2016; 15: 226–229. </w:t>
      </w:r>
    </w:p>
    <w:p w14:paraId="677BCFC2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Keorochana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G,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Setrkraising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K,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Woratanarat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P,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Arirachakaran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Kongtharvonskul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J. Clinical outcomes after minimally invasive transforaminal lumbar interbody fusion and lateral lumbar interbody fusion for treatment of degenerative lumbar disease: a systematic review and meta-analysis.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Rev. 2018; 41: 755–770. </w:t>
      </w:r>
    </w:p>
    <w:p w14:paraId="13DE2AB5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Sembrano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JN,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Tohmeh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A, Isaacs R. Two-year Comparative Outcomes of MIS Lateral and MIS Transforaminal Interbody Fusion in the Treatment of Degenerative Spondylolisthesis: Part I: Clinical Findings.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(</w:t>
      </w:r>
      <w:proofErr w:type="spellStart"/>
      <w:r w:rsidRPr="00EF4398">
        <w:rPr>
          <w:rFonts w:ascii="Arial" w:eastAsia="Times New Roman" w:hAnsi="Arial" w:cs="Arial"/>
          <w:lang w:eastAsia="pt-BR"/>
        </w:rPr>
        <w:t>Phila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Pa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1976) 2016; 41 </w:t>
      </w:r>
      <w:proofErr w:type="spellStart"/>
      <w:r w:rsidRPr="00EF4398">
        <w:rPr>
          <w:rFonts w:ascii="Arial" w:eastAsia="Times New Roman" w:hAnsi="Arial" w:cs="Arial"/>
          <w:lang w:eastAsia="pt-BR"/>
        </w:rPr>
        <w:t>Suppl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8: s123–s132. </w:t>
      </w:r>
    </w:p>
    <w:p w14:paraId="4D192471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Sembrano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JN,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Tohmeh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A, Isaacs R. Two-year Comparative Outcomes of MIS Lateral and MIS Transforaminal Interbody Fusion in the Treatment of Degenerative Spondylolisthesis: Part I: Clinical Findings.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2016; 41 </w:t>
      </w:r>
      <w:proofErr w:type="spellStart"/>
      <w:r w:rsidRPr="00EF4398">
        <w:rPr>
          <w:rFonts w:ascii="Arial" w:eastAsia="Times New Roman" w:hAnsi="Arial" w:cs="Arial"/>
          <w:lang w:eastAsia="pt-BR"/>
        </w:rPr>
        <w:t>Suppl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8: S123-132. </w:t>
      </w:r>
    </w:p>
    <w:p w14:paraId="5897CFDA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Ko MJ, Park SW, Kim YB. Correction of spondylolisthesis by lateral lumbar interbody fusion compared with transforaminal lumbar interbody fusion at L4–5. </w:t>
      </w:r>
      <w:r w:rsidRPr="00EF4398">
        <w:rPr>
          <w:rFonts w:ascii="Arial" w:eastAsia="Times New Roman" w:hAnsi="Arial" w:cs="Arial"/>
          <w:lang w:eastAsia="pt-BR"/>
        </w:rPr>
        <w:t xml:space="preserve">J Korean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Soc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2019; 62: 422–431. </w:t>
      </w:r>
    </w:p>
    <w:p w14:paraId="530DBF00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Kono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Y, Gen H, Sakuma Y,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Koshika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Y. Comparison of Clinical and Radiologic Results of Mini-Open Transforaminal Lumbar Interbody Fusion and Extreme Lateral Interbody Fusion Indirect Decompression for Degenerative Lumbar Spondylolisthesis. </w:t>
      </w:r>
      <w:proofErr w:type="spellStart"/>
      <w:r w:rsidRPr="00EF4398">
        <w:rPr>
          <w:rFonts w:ascii="Arial" w:eastAsia="Times New Roman" w:hAnsi="Arial" w:cs="Arial"/>
          <w:lang w:eastAsia="pt-BR"/>
        </w:rPr>
        <w:t>Asian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J 2018; 12: 356. </w:t>
      </w:r>
    </w:p>
    <w:p w14:paraId="516556EA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Daniels AH, Daher M, Nassar JE, Haddad S,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Boissiere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L, Hurley RK et al. Transforaminal Versus Anterior Lumbar Interbody Fusion at L5-S1 for Degenerative Spine Disease.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(</w:t>
      </w:r>
      <w:proofErr w:type="spellStart"/>
      <w:r w:rsidRPr="00EF4398">
        <w:rPr>
          <w:rFonts w:ascii="Arial" w:eastAsia="Times New Roman" w:hAnsi="Arial" w:cs="Arial"/>
          <w:lang w:eastAsia="pt-BR"/>
        </w:rPr>
        <w:t>Phila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Pa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1976) 2025; 50: E231–E239. </w:t>
      </w:r>
    </w:p>
    <w:p w14:paraId="37C428C6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Lightsey HM, Pisano AJ,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Striano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BM, Crawford AM,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Xiong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GX, Hershman S et al. ALIF Versus TLIF for L5-S1 Isthmic Spondylolisthesis: ALIF Demonstrates Superior Segmental and Regional Radiographic Outcomes and Clinical Improvements Across More Patient-reported Outcome Measures Domains.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(</w:t>
      </w:r>
      <w:proofErr w:type="spellStart"/>
      <w:r w:rsidRPr="00EF4398">
        <w:rPr>
          <w:rFonts w:ascii="Arial" w:eastAsia="Times New Roman" w:hAnsi="Arial" w:cs="Arial"/>
          <w:lang w:eastAsia="pt-BR"/>
        </w:rPr>
        <w:t>Phila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Pa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1976) 2022; 47: 808–816. </w:t>
      </w:r>
    </w:p>
    <w:p w14:paraId="7B5CFEA1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Alhaug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OK,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Dolatowski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FC,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Thyrhaug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AM,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Mjønes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S, Dos Reis JABPR,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Austevoll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I. Long-term comparison of anterior (ALIF) versus transforaminal (TLIF) lumbar interbody fusion: a propensity score-matched register-based study. </w:t>
      </w:r>
      <w:proofErr w:type="spellStart"/>
      <w:r w:rsidRPr="00EF4398">
        <w:rPr>
          <w:rFonts w:ascii="Arial" w:eastAsia="Times New Roman" w:hAnsi="Arial" w:cs="Arial"/>
          <w:lang w:eastAsia="pt-BR"/>
        </w:rPr>
        <w:t>European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2024; 33: 1109–1119. </w:t>
      </w:r>
    </w:p>
    <w:p w14:paraId="39A16A5D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Rathbone J, Rackham M, Nielsen D, Lee SM, Hing W,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Riar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 et al. A systematic review of anterior lumbar interbody fusion (ALIF) versus posterior lumbar interbody fusion (PLIF), transforaminal lumbar interbody fusion (TLIF), posterolateral lumbar fusion (PLF). </w:t>
      </w:r>
      <w:proofErr w:type="spellStart"/>
      <w:r w:rsidRPr="00EF4398">
        <w:rPr>
          <w:rFonts w:ascii="Arial" w:eastAsia="Times New Roman" w:hAnsi="Arial" w:cs="Arial"/>
          <w:lang w:eastAsia="pt-BR"/>
        </w:rPr>
        <w:t>European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2023; 32: 1911–1926. </w:t>
      </w:r>
    </w:p>
    <w:p w14:paraId="007A3FA4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Pimenta L, Amaral R, Taylor W, </w:t>
      </w:r>
      <w:proofErr w:type="spellStart"/>
      <w:r w:rsidRPr="00EF4398">
        <w:rPr>
          <w:rFonts w:ascii="Arial" w:eastAsia="Times New Roman" w:hAnsi="Arial" w:cs="Arial"/>
          <w:lang w:eastAsia="pt-BR"/>
        </w:rPr>
        <w:t>Tomeh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A, </w:t>
      </w:r>
      <w:proofErr w:type="spellStart"/>
      <w:r w:rsidRPr="00EF4398">
        <w:rPr>
          <w:rFonts w:ascii="Arial" w:eastAsia="Times New Roman" w:hAnsi="Arial" w:cs="Arial"/>
          <w:lang w:eastAsia="pt-BR"/>
        </w:rPr>
        <w:t>Pokorny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G, Rodrigues R et al. </w:t>
      </w:r>
      <w:r w:rsidRPr="00EF4398">
        <w:rPr>
          <w:rFonts w:ascii="Arial" w:eastAsia="Times New Roman" w:hAnsi="Arial" w:cs="Arial"/>
          <w:lang w:val="en-US" w:eastAsia="pt-BR"/>
        </w:rPr>
        <w:t xml:space="preserve">The prone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transpsoas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technique: preliminary radiographic results of a multicenter experience. </w:t>
      </w:r>
      <w:proofErr w:type="spellStart"/>
      <w:r w:rsidRPr="00EF4398">
        <w:rPr>
          <w:rFonts w:ascii="Arial" w:eastAsia="Times New Roman" w:hAnsi="Arial" w:cs="Arial"/>
          <w:lang w:eastAsia="pt-BR"/>
        </w:rPr>
        <w:t>European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Journal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2020. doi:10.1007/s00586-020-06471-y. </w:t>
      </w:r>
    </w:p>
    <w:p w14:paraId="6CE81F7D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Pimenta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L, Taylor WR, Stone LE,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Wali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AR, Santiago-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Dieppa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DR. Prone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transpsoas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technique for simultaneous single position access to the anterior and posterior spine. </w:t>
      </w:r>
      <w:r w:rsidRPr="00EF4398">
        <w:rPr>
          <w:rFonts w:ascii="Arial" w:eastAsia="Times New Roman" w:hAnsi="Arial" w:cs="Arial"/>
          <w:lang w:eastAsia="pt-BR"/>
        </w:rPr>
        <w:t xml:space="preserve">Oper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2020. </w:t>
      </w:r>
    </w:p>
    <w:p w14:paraId="200CDEFF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lastRenderedPageBreak/>
        <w:t xml:space="preserve">Amaral R, </w:t>
      </w:r>
      <w:proofErr w:type="spellStart"/>
      <w:r w:rsidRPr="00EF4398">
        <w:rPr>
          <w:rFonts w:ascii="Arial" w:eastAsia="Times New Roman" w:hAnsi="Arial" w:cs="Arial"/>
          <w:lang w:eastAsia="pt-BR"/>
        </w:rPr>
        <w:t>Daher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MT, </w:t>
      </w:r>
      <w:proofErr w:type="spellStart"/>
      <w:r w:rsidRPr="00EF4398">
        <w:rPr>
          <w:rFonts w:ascii="Arial" w:eastAsia="Times New Roman" w:hAnsi="Arial" w:cs="Arial"/>
          <w:lang w:eastAsia="pt-BR"/>
        </w:rPr>
        <w:t>Pratali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R, </w:t>
      </w:r>
      <w:proofErr w:type="spellStart"/>
      <w:r w:rsidRPr="00EF4398">
        <w:rPr>
          <w:rFonts w:ascii="Arial" w:eastAsia="Times New Roman" w:hAnsi="Arial" w:cs="Arial"/>
          <w:lang w:eastAsia="pt-BR"/>
        </w:rPr>
        <w:t>Arnoni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D, </w:t>
      </w:r>
      <w:proofErr w:type="spellStart"/>
      <w:r w:rsidRPr="00EF4398">
        <w:rPr>
          <w:rFonts w:ascii="Arial" w:eastAsia="Times New Roman" w:hAnsi="Arial" w:cs="Arial"/>
          <w:lang w:eastAsia="pt-BR"/>
        </w:rPr>
        <w:t>Pokorny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G, Rodrigues R et al. </w:t>
      </w:r>
      <w:r w:rsidRPr="00EF4398">
        <w:rPr>
          <w:rFonts w:ascii="Arial" w:eastAsia="Times New Roman" w:hAnsi="Arial" w:cs="Arial"/>
          <w:lang w:val="en-US" w:eastAsia="pt-BR"/>
        </w:rPr>
        <w:t xml:space="preserve">The Effect of Patient Position on Psoas Morphology and in Lumbar Lordosis. </w:t>
      </w:r>
      <w:r w:rsidRPr="00EF4398">
        <w:rPr>
          <w:rFonts w:ascii="Arial" w:eastAsia="Times New Roman" w:hAnsi="Arial" w:cs="Arial"/>
          <w:lang w:eastAsia="pt-BR"/>
        </w:rPr>
        <w:t xml:space="preserve">World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2021; 153: e131–e140. </w:t>
      </w:r>
    </w:p>
    <w:p w14:paraId="28D3A0E6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Smith TG,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Pollina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J, Joseph SA, Howell KM. Effects of Surgical Positioning on L4-L5 Accessibility and Lumbar Lordosis in Lateral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Transpsoas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Lumbar Interbody Fusion: A Comparison of Prone and Lateral Decubitus in Asymptomatic Adults. </w:t>
      </w:r>
      <w:r w:rsidRPr="00EF4398">
        <w:rPr>
          <w:rFonts w:ascii="Arial" w:eastAsia="Times New Roman" w:hAnsi="Arial" w:cs="Arial"/>
          <w:lang w:eastAsia="pt-BR"/>
        </w:rPr>
        <w:t xml:space="preserve">World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2021; 149: e705–e713. </w:t>
      </w:r>
    </w:p>
    <w:p w14:paraId="59D05D3D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Beck AW, Simpson AK. High-Grade Lumbar Spondylolisthesis.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Clin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N Am 2019; 30: 291–298. </w:t>
      </w:r>
    </w:p>
    <w:p w14:paraId="2995C427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Kim M, Kim HS, Oh SW,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Adsul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NM, Singh R,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Kashlan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ON et al. Evolution of spinal endoscopic surgery.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2019; 16: 6–14. </w:t>
      </w:r>
    </w:p>
    <w:p w14:paraId="7192E195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proofErr w:type="spellStart"/>
      <w:r w:rsidRPr="00EF4398">
        <w:rPr>
          <w:rFonts w:ascii="Arial" w:eastAsia="Times New Roman" w:hAnsi="Arial" w:cs="Arial"/>
          <w:lang w:val="en-US" w:eastAsia="pt-BR"/>
        </w:rPr>
        <w:t>Pimenta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L, Taylor WR, Stone LE,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Wali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AR, Santiago-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Dieppa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DR. Prone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Transpsoas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Technique for Simultaneous Single-Position Access to the Anterior and Posterior Lumbar Spine. </w:t>
      </w:r>
      <w:r w:rsidRPr="00EF4398">
        <w:rPr>
          <w:rFonts w:ascii="Arial" w:eastAsia="Times New Roman" w:hAnsi="Arial" w:cs="Arial"/>
          <w:lang w:eastAsia="pt-BR"/>
        </w:rPr>
        <w:t xml:space="preserve">Oper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(</w:t>
      </w:r>
      <w:proofErr w:type="spellStart"/>
      <w:r w:rsidRPr="00EF4398">
        <w:rPr>
          <w:rFonts w:ascii="Arial" w:eastAsia="Times New Roman" w:hAnsi="Arial" w:cs="Arial"/>
          <w:lang w:eastAsia="pt-BR"/>
        </w:rPr>
        <w:t>Hagerstown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) 2020; 20: E5–E12. </w:t>
      </w:r>
    </w:p>
    <w:p w14:paraId="2AE51408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Harrison DJ, Bhandarkar AR,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Durrani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Zamanian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C, Singh R,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Bydon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M. Emerging innovations for lumbar spondylolisthesis management: a systematic review of active and prospective clinical trials.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EF4398">
        <w:rPr>
          <w:rFonts w:ascii="Arial" w:eastAsia="Times New Roman" w:hAnsi="Arial" w:cs="Arial"/>
          <w:lang w:eastAsia="pt-BR"/>
        </w:rPr>
        <w:t>Rev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2022; 45: 3629–3640. </w:t>
      </w:r>
    </w:p>
    <w:p w14:paraId="313E36F9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eastAsia="pt-BR"/>
        </w:rPr>
        <w:t xml:space="preserve">André A, </w:t>
      </w:r>
      <w:proofErr w:type="spellStart"/>
      <w:r w:rsidRPr="00EF4398">
        <w:rPr>
          <w:rFonts w:ascii="Arial" w:eastAsia="Times New Roman" w:hAnsi="Arial" w:cs="Arial"/>
          <w:lang w:eastAsia="pt-BR"/>
        </w:rPr>
        <w:t>Peyrou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B, Carpentier A, </w:t>
      </w:r>
      <w:proofErr w:type="spellStart"/>
      <w:r w:rsidRPr="00EF4398">
        <w:rPr>
          <w:rFonts w:ascii="Arial" w:eastAsia="Times New Roman" w:hAnsi="Arial" w:cs="Arial"/>
          <w:lang w:eastAsia="pt-BR"/>
        </w:rPr>
        <w:t>Vignaux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J-J. </w:t>
      </w:r>
      <w:r w:rsidRPr="00EF4398">
        <w:rPr>
          <w:rFonts w:ascii="Arial" w:eastAsia="Times New Roman" w:hAnsi="Arial" w:cs="Arial"/>
          <w:lang w:val="en-US" w:eastAsia="pt-BR"/>
        </w:rPr>
        <w:t xml:space="preserve">Feasibility and Assessment of a Machine Learning-Based Predictive Model of Outcome After Lumbar Decompression Surgery. </w:t>
      </w:r>
      <w:r w:rsidRPr="00EF4398">
        <w:rPr>
          <w:rFonts w:ascii="Arial" w:eastAsia="Times New Roman" w:hAnsi="Arial" w:cs="Arial"/>
          <w:lang w:eastAsia="pt-BR"/>
        </w:rPr>
        <w:t xml:space="preserve">Global </w:t>
      </w:r>
      <w:proofErr w:type="spellStart"/>
      <w:r w:rsidRPr="00EF4398">
        <w:rPr>
          <w:rFonts w:ascii="Arial" w:eastAsia="Times New Roman" w:hAnsi="Arial" w:cs="Arial"/>
          <w:lang w:eastAsia="pt-BR"/>
        </w:rPr>
        <w:t>Spine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J 2020</w:t>
      </w:r>
      <w:proofErr w:type="gramStart"/>
      <w:r w:rsidRPr="00EF4398">
        <w:rPr>
          <w:rFonts w:ascii="Arial" w:eastAsia="Times New Roman" w:hAnsi="Arial" w:cs="Arial"/>
          <w:lang w:eastAsia="pt-BR"/>
        </w:rPr>
        <w:t>; :</w:t>
      </w:r>
      <w:proofErr w:type="gramEnd"/>
      <w:r w:rsidRPr="00EF4398">
        <w:rPr>
          <w:rFonts w:ascii="Arial" w:eastAsia="Times New Roman" w:hAnsi="Arial" w:cs="Arial"/>
          <w:lang w:eastAsia="pt-BR"/>
        </w:rPr>
        <w:t xml:space="preserve"> 2192568220969373. </w:t>
      </w:r>
    </w:p>
    <w:p w14:paraId="3ACFAD8C" w14:textId="77777777" w:rsidR="00EF4398" w:rsidRPr="00EF4398" w:rsidRDefault="00EF4398" w:rsidP="00EF4398">
      <w:pPr>
        <w:numPr>
          <w:ilvl w:val="0"/>
          <w:numId w:val="15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lang w:val="en-US" w:eastAsia="pt-BR"/>
        </w:rPr>
        <w:t xml:space="preserve">Shah AA,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Devana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SK, Lee C,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Bugarin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A, Lord EL, </w:t>
      </w:r>
      <w:proofErr w:type="spellStart"/>
      <w:r w:rsidRPr="00EF4398">
        <w:rPr>
          <w:rFonts w:ascii="Arial" w:eastAsia="Times New Roman" w:hAnsi="Arial" w:cs="Arial"/>
          <w:lang w:val="en-US" w:eastAsia="pt-BR"/>
        </w:rPr>
        <w:t>Shamie</w:t>
      </w:r>
      <w:proofErr w:type="spellEnd"/>
      <w:r w:rsidRPr="00EF4398">
        <w:rPr>
          <w:rFonts w:ascii="Arial" w:eastAsia="Times New Roman" w:hAnsi="Arial" w:cs="Arial"/>
          <w:lang w:val="en-US" w:eastAsia="pt-BR"/>
        </w:rPr>
        <w:t xml:space="preserve"> AN et al. Prediction of Major Complications and Readmission After Lumbar Spinal Fusion: A Machine Learning–Driven Approach. </w:t>
      </w:r>
      <w:r w:rsidRPr="00EF4398">
        <w:rPr>
          <w:rFonts w:ascii="Arial" w:eastAsia="Times New Roman" w:hAnsi="Arial" w:cs="Arial"/>
          <w:lang w:eastAsia="pt-BR"/>
        </w:rPr>
        <w:t xml:space="preserve">World </w:t>
      </w:r>
      <w:proofErr w:type="spellStart"/>
      <w:r w:rsidRPr="00EF4398">
        <w:rPr>
          <w:rFonts w:ascii="Arial" w:eastAsia="Times New Roman" w:hAnsi="Arial" w:cs="Arial"/>
          <w:lang w:eastAsia="pt-BR"/>
        </w:rPr>
        <w:t>Neurosurg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2021; 152: e227–e234. </w:t>
      </w:r>
    </w:p>
    <w:p w14:paraId="38676087" w14:textId="77777777" w:rsidR="00EF4398" w:rsidRPr="00EF4398" w:rsidRDefault="00EF4398" w:rsidP="00EF4398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F439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Metadados para publicação</w:t>
      </w:r>
    </w:p>
    <w:p w14:paraId="70EEEA17" w14:textId="77777777" w:rsidR="00EF4398" w:rsidRPr="00EF4398" w:rsidRDefault="00EF4398" w:rsidP="00EF4398">
      <w:pPr>
        <w:numPr>
          <w:ilvl w:val="0"/>
          <w:numId w:val="17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Título SEO:</w:t>
      </w:r>
      <w:r w:rsidRPr="00EF4398">
        <w:rPr>
          <w:rFonts w:ascii="Arial" w:eastAsia="Times New Roman" w:hAnsi="Arial" w:cs="Arial"/>
          <w:lang w:eastAsia="pt-BR"/>
        </w:rPr>
        <w:t xml:space="preserve"> Espondilolistese no Adulto: Diagnóstico e Tratamento</w:t>
      </w:r>
    </w:p>
    <w:p w14:paraId="18976666" w14:textId="77777777" w:rsidR="00EF4398" w:rsidRPr="00EF4398" w:rsidRDefault="00EF4398" w:rsidP="00EF4398">
      <w:pPr>
        <w:numPr>
          <w:ilvl w:val="0"/>
          <w:numId w:val="17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Meta descrição:</w:t>
      </w:r>
      <w:r w:rsidRPr="00EF4398">
        <w:rPr>
          <w:rFonts w:ascii="Arial" w:eastAsia="Times New Roman" w:hAnsi="Arial" w:cs="Arial"/>
          <w:lang w:eastAsia="pt-BR"/>
        </w:rPr>
        <w:t xml:space="preserve"> Guia técnico sobre espondilolistese degenerativa e ístmica no adulto: epidemiologia, diagnóstico por imagem, alinhamento sagital e técnicas cirúrgicas.</w:t>
      </w:r>
    </w:p>
    <w:p w14:paraId="03401C38" w14:textId="77777777" w:rsidR="00EF4398" w:rsidRPr="00EF4398" w:rsidRDefault="00EF4398" w:rsidP="00EF4398">
      <w:pPr>
        <w:numPr>
          <w:ilvl w:val="0"/>
          <w:numId w:val="17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>Resumo de chamada:</w:t>
      </w:r>
      <w:r w:rsidRPr="00EF4398">
        <w:rPr>
          <w:rFonts w:ascii="Arial" w:eastAsia="Times New Roman" w:hAnsi="Arial" w:cs="Arial"/>
          <w:lang w:eastAsia="pt-BR"/>
        </w:rPr>
        <w:t xml:space="preserve"> Síntese detalhada sobre espondilolistese degenerativa e ístmica no adulto, abordando critérios diagnósticos, alinhamento sagital, escolha entre descompressão e fusão, e técnicas </w:t>
      </w:r>
      <w:proofErr w:type="spellStart"/>
      <w:r w:rsidRPr="00EF4398">
        <w:rPr>
          <w:rFonts w:ascii="Arial" w:eastAsia="Times New Roman" w:hAnsi="Arial" w:cs="Arial"/>
          <w:lang w:eastAsia="pt-BR"/>
        </w:rPr>
        <w:t>intersomáticas</w:t>
      </w:r>
      <w:proofErr w:type="spellEnd"/>
      <w:r w:rsidRPr="00EF4398">
        <w:rPr>
          <w:rFonts w:ascii="Arial" w:eastAsia="Times New Roman" w:hAnsi="Arial" w:cs="Arial"/>
          <w:lang w:eastAsia="pt-BR"/>
        </w:rPr>
        <w:t xml:space="preserve"> avançadas.</w:t>
      </w:r>
    </w:p>
    <w:p w14:paraId="4DC3FFC0" w14:textId="094C9854" w:rsidR="003C2187" w:rsidRPr="00EF4398" w:rsidRDefault="00EF4398" w:rsidP="00EF4398">
      <w:pPr>
        <w:numPr>
          <w:ilvl w:val="0"/>
          <w:numId w:val="17"/>
        </w:numPr>
        <w:spacing w:after="100" w:afterAutospacing="1"/>
        <w:rPr>
          <w:rFonts w:ascii="Arial" w:eastAsia="Times New Roman" w:hAnsi="Arial" w:cs="Arial"/>
          <w:lang w:eastAsia="pt-BR"/>
        </w:rPr>
      </w:pPr>
      <w:r w:rsidRPr="00EF4398">
        <w:rPr>
          <w:rFonts w:ascii="Arial" w:eastAsia="Times New Roman" w:hAnsi="Arial" w:cs="Arial"/>
          <w:b/>
          <w:bCs/>
          <w:lang w:eastAsia="pt-BR"/>
        </w:rPr>
        <w:t xml:space="preserve">Sugestão de </w:t>
      </w:r>
      <w:proofErr w:type="spellStart"/>
      <w:r w:rsidRPr="00EF4398">
        <w:rPr>
          <w:rFonts w:ascii="Arial" w:eastAsia="Times New Roman" w:hAnsi="Arial" w:cs="Arial"/>
          <w:b/>
          <w:bCs/>
          <w:lang w:eastAsia="pt-BR"/>
        </w:rPr>
        <w:t>slug</w:t>
      </w:r>
      <w:proofErr w:type="spellEnd"/>
      <w:r w:rsidRPr="00EF4398">
        <w:rPr>
          <w:rFonts w:ascii="Arial" w:eastAsia="Times New Roman" w:hAnsi="Arial" w:cs="Arial"/>
          <w:b/>
          <w:bCs/>
          <w:lang w:eastAsia="pt-BR"/>
        </w:rPr>
        <w:t>:</w:t>
      </w:r>
      <w:r w:rsidRPr="00EF4398">
        <w:rPr>
          <w:rFonts w:ascii="Arial" w:eastAsia="Times New Roman" w:hAnsi="Arial" w:cs="Arial"/>
          <w:lang w:eastAsia="pt-BR"/>
        </w:rPr>
        <w:t xml:space="preserve"> espondilolistese-no-adulto</w:t>
      </w:r>
    </w:p>
    <w:sectPr w:rsidR="003C2187" w:rsidRPr="00EF4398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60044F"/>
    <w:multiLevelType w:val="multilevel"/>
    <w:tmpl w:val="E1B6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96B2B"/>
    <w:multiLevelType w:val="multilevel"/>
    <w:tmpl w:val="228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05EFF"/>
    <w:multiLevelType w:val="multilevel"/>
    <w:tmpl w:val="31F2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F4FE1"/>
    <w:multiLevelType w:val="multilevel"/>
    <w:tmpl w:val="3D74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07534"/>
    <w:multiLevelType w:val="multilevel"/>
    <w:tmpl w:val="25D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7086D"/>
    <w:multiLevelType w:val="multilevel"/>
    <w:tmpl w:val="F8D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61878"/>
    <w:multiLevelType w:val="multilevel"/>
    <w:tmpl w:val="F5C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675E0"/>
    <w:multiLevelType w:val="multilevel"/>
    <w:tmpl w:val="A4A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C48EA"/>
    <w:multiLevelType w:val="multilevel"/>
    <w:tmpl w:val="1DD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514539">
    <w:abstractNumId w:val="0"/>
  </w:num>
  <w:num w:numId="2" w16cid:durableId="1210188162">
    <w:abstractNumId w:val="1"/>
  </w:num>
  <w:num w:numId="3" w16cid:durableId="2010674598">
    <w:abstractNumId w:val="2"/>
  </w:num>
  <w:num w:numId="4" w16cid:durableId="900362257">
    <w:abstractNumId w:val="3"/>
  </w:num>
  <w:num w:numId="5" w16cid:durableId="187569949">
    <w:abstractNumId w:val="4"/>
  </w:num>
  <w:num w:numId="6" w16cid:durableId="1900896231">
    <w:abstractNumId w:val="5"/>
  </w:num>
  <w:num w:numId="7" w16cid:durableId="1812597715">
    <w:abstractNumId w:val="6"/>
  </w:num>
  <w:num w:numId="8" w16cid:durableId="1191726788">
    <w:abstractNumId w:val="7"/>
  </w:num>
  <w:num w:numId="9" w16cid:durableId="2066678372">
    <w:abstractNumId w:val="14"/>
  </w:num>
  <w:num w:numId="10" w16cid:durableId="1690720903">
    <w:abstractNumId w:val="10"/>
  </w:num>
  <w:num w:numId="11" w16cid:durableId="1060590406">
    <w:abstractNumId w:val="12"/>
  </w:num>
  <w:num w:numId="12" w16cid:durableId="1497576731">
    <w:abstractNumId w:val="16"/>
  </w:num>
  <w:num w:numId="13" w16cid:durableId="95099152">
    <w:abstractNumId w:val="15"/>
  </w:num>
  <w:num w:numId="14" w16cid:durableId="1066686950">
    <w:abstractNumId w:val="13"/>
  </w:num>
  <w:num w:numId="15" w16cid:durableId="562832322">
    <w:abstractNumId w:val="11"/>
  </w:num>
  <w:num w:numId="16" w16cid:durableId="48310960">
    <w:abstractNumId w:val="8"/>
  </w:num>
  <w:num w:numId="17" w16cid:durableId="1447311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98"/>
    <w:rsid w:val="000D7E60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355"/>
    <w:rsid w:val="00A96B78"/>
    <w:rsid w:val="00B702F2"/>
    <w:rsid w:val="00C20A44"/>
    <w:rsid w:val="00C62276"/>
    <w:rsid w:val="00D973F4"/>
    <w:rsid w:val="00E34133"/>
    <w:rsid w:val="00E86052"/>
    <w:rsid w:val="00EF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2F34F"/>
  <w15:chartTrackingRefBased/>
  <w15:docId w15:val="{3C328B42-CAB8-9E41-95AE-A9DC6FFC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F439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F439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F43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2784</Words>
  <Characters>15037</Characters>
  <Application>Microsoft Office Word</Application>
  <DocSecurity>0</DocSecurity>
  <Lines>125</Lines>
  <Paragraphs>35</Paragraphs>
  <ScaleCrop>false</ScaleCrop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2026-08-21T03:09:00Z</dcterms:created>
  <dcterms:modified xsi:type="dcterms:W3CDTF">2026-08-21T03:10:00Z</dcterms:modified>
</cp:coreProperties>
</file>