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7A81A7" w14:textId="65A1B05F" w:rsidR="00312AC9" w:rsidRDefault="00312AC9" w:rsidP="00312AC9">
      <w:pPr>
        <w:spacing w:after="0" w:line="240" w:lineRule="auto"/>
        <w:rPr>
          <w:rFonts w:ascii="Arial" w:eastAsia="Times New Roman" w:hAnsi="Arial" w:cs="Arial"/>
          <w:color w:val="1F1F1F"/>
          <w:kern w:val="0"/>
          <w:bdr w:val="none" w:sz="0" w:space="0" w:color="auto" w:frame="1"/>
          <w14:ligatures w14:val="none"/>
        </w:rPr>
      </w:pPr>
      <w:r w:rsidRPr="00312AC9">
        <w:rPr>
          <w:rFonts w:ascii="Arial" w:eastAsia="Times New Roman" w:hAnsi="Arial" w:cs="Arial"/>
          <w:color w:val="1F1F1F"/>
          <w:kern w:val="0"/>
          <w:bdr w:val="none" w:sz="0" w:space="0" w:color="auto" w:frame="1"/>
          <w14:ligatures w14:val="none"/>
        </w:rPr>
        <w:t>Capítulo 75</w:t>
      </w:r>
    </w:p>
    <w:p w14:paraId="5C30D3E0" w14:textId="77777777" w:rsidR="00312AC9" w:rsidRDefault="00312AC9" w:rsidP="00312AC9">
      <w:pPr>
        <w:spacing w:after="0" w:line="240" w:lineRule="auto"/>
        <w:rPr>
          <w:rFonts w:ascii="Arial" w:eastAsia="Times New Roman" w:hAnsi="Arial" w:cs="Arial"/>
          <w:b/>
          <w:bCs/>
          <w:color w:val="1F1F1F"/>
          <w:kern w:val="0"/>
          <w:bdr w:val="none" w:sz="0" w:space="0" w:color="auto" w:frame="1"/>
          <w14:ligatures w14:val="none"/>
        </w:rPr>
      </w:pPr>
    </w:p>
    <w:p w14:paraId="533C98FC" w14:textId="1B07E21F"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Identificação</w:t>
      </w:r>
    </w:p>
    <w:p w14:paraId="56C5E066"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003E95A1" w14:textId="77777777" w:rsidR="00312AC9" w:rsidRPr="00312AC9" w:rsidRDefault="00312AC9" w:rsidP="00312AC9">
      <w:pPr>
        <w:numPr>
          <w:ilvl w:val="0"/>
          <w:numId w:val="1"/>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Número do capítulo:</w:t>
      </w:r>
      <w:r w:rsidRPr="00312AC9">
        <w:rPr>
          <w:rFonts w:ascii="Arial" w:eastAsia="Times New Roman" w:hAnsi="Arial" w:cs="Arial"/>
          <w:color w:val="1F1F1F"/>
          <w:kern w:val="0"/>
          <w:bdr w:val="none" w:sz="0" w:space="0" w:color="auto" w:frame="1"/>
          <w14:ligatures w14:val="none"/>
        </w:rPr>
        <w:t xml:space="preserve"> Capítulo 75</w:t>
      </w:r>
      <w:r w:rsidRPr="00312AC9">
        <w:rPr>
          <w:rFonts w:ascii="Arial" w:eastAsia="Times New Roman" w:hAnsi="Arial" w:cs="Arial"/>
          <w:color w:val="1F1F1F"/>
          <w:kern w:val="0"/>
          <w14:ligatures w14:val="none"/>
        </w:rPr>
        <w:t xml:space="preserve"> </w:t>
      </w:r>
    </w:p>
    <w:p w14:paraId="7BFEFC87"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02ACC59" w14:textId="77777777" w:rsidR="00312AC9" w:rsidRPr="00312AC9" w:rsidRDefault="00312AC9" w:rsidP="00312AC9">
      <w:pPr>
        <w:numPr>
          <w:ilvl w:val="0"/>
          <w:numId w:val="1"/>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Título completo:</w:t>
      </w:r>
      <w:r w:rsidRPr="00312AC9">
        <w:rPr>
          <w:rFonts w:ascii="Arial" w:eastAsia="Times New Roman" w:hAnsi="Arial" w:cs="Arial"/>
          <w:color w:val="1F1F1F"/>
          <w:kern w:val="0"/>
          <w:bdr w:val="none" w:sz="0" w:space="0" w:color="auto" w:frame="1"/>
          <w14:ligatures w14:val="none"/>
        </w:rPr>
        <w:t xml:space="preserve"> Técnicas de Fixação Cervical Anterior</w:t>
      </w:r>
      <w:r w:rsidRPr="00312AC9">
        <w:rPr>
          <w:rFonts w:ascii="Arial" w:eastAsia="Times New Roman" w:hAnsi="Arial" w:cs="Arial"/>
          <w:color w:val="1F1F1F"/>
          <w:kern w:val="0"/>
          <w14:ligatures w14:val="none"/>
        </w:rPr>
        <w:t xml:space="preserve"> </w:t>
      </w:r>
    </w:p>
    <w:p w14:paraId="04EE1314"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C5EA834" w14:textId="77777777" w:rsidR="00312AC9" w:rsidRPr="00312AC9" w:rsidRDefault="00312AC9" w:rsidP="00312AC9">
      <w:pPr>
        <w:numPr>
          <w:ilvl w:val="0"/>
          <w:numId w:val="1"/>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Seção do Tratado:</w:t>
      </w:r>
      <w:r w:rsidRPr="00312AC9">
        <w:rPr>
          <w:rFonts w:ascii="Arial" w:eastAsia="Times New Roman" w:hAnsi="Arial" w:cs="Arial"/>
          <w:color w:val="1F1F1F"/>
          <w:kern w:val="0"/>
          <w:bdr w:val="none" w:sz="0" w:space="0" w:color="auto" w:frame="1"/>
          <w14:ligatures w14:val="none"/>
        </w:rPr>
        <w:t xml:space="preserve"> Tratado de Cirurgia da Coluna Vertebral</w:t>
      </w:r>
      <w:r w:rsidRPr="00312AC9">
        <w:rPr>
          <w:rFonts w:ascii="Arial" w:eastAsia="Times New Roman" w:hAnsi="Arial" w:cs="Arial"/>
          <w:color w:val="1F1F1F"/>
          <w:kern w:val="0"/>
          <w14:ligatures w14:val="none"/>
        </w:rPr>
        <w:t xml:space="preserve"> </w:t>
      </w:r>
    </w:p>
    <w:p w14:paraId="1667B51C"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239BBB2E" w14:textId="77777777" w:rsidR="00312AC9" w:rsidRPr="00312AC9" w:rsidRDefault="00312AC9" w:rsidP="00312AC9">
      <w:pPr>
        <w:numPr>
          <w:ilvl w:val="0"/>
          <w:numId w:val="1"/>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Autor ou autores:</w:t>
      </w:r>
      <w:r w:rsidRPr="00312AC9">
        <w:rPr>
          <w:rFonts w:ascii="Arial" w:eastAsia="Times New Roman" w:hAnsi="Arial" w:cs="Arial"/>
          <w:color w:val="1F1F1F"/>
          <w:kern w:val="0"/>
          <w:bdr w:val="none" w:sz="0" w:space="0" w:color="auto" w:frame="1"/>
          <w14:ligatures w14:val="none"/>
        </w:rPr>
        <w:t xml:space="preserve"> Jeronimo Buzetti Milano e Egon Ewaldo Lindorfer Neto</w:t>
      </w:r>
      <w:r w:rsidRPr="00312AC9">
        <w:rPr>
          <w:rFonts w:ascii="Arial" w:eastAsia="Times New Roman" w:hAnsi="Arial" w:cs="Arial"/>
          <w:color w:val="1F1F1F"/>
          <w:kern w:val="0"/>
          <w14:ligatures w14:val="none"/>
        </w:rPr>
        <w:t xml:space="preserve"> </w:t>
      </w:r>
    </w:p>
    <w:p w14:paraId="28689C8B"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04A4940"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Contexto</w:t>
      </w:r>
    </w:p>
    <w:p w14:paraId="4CE90466"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225AA954"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 xml:space="preserve">As técnicas de fixação cervical anterior evoluíram significativamente desde a década de 1950, com o estabelecimento do acesso anterior por Smith, Robinson, Cloward, Dereymaeker e Mulier. O avanço da instrumentação — desde as placas bicorticais rígidas de Orozco e Llovet, as placas trapezoidais de Caspar, os parafusos unicorticais bloqueados de Morscher até as placas dinâmicas atuais — otimizou a estabilização e a fusão intersomática na coluna subaxial. A abordagem anterior oferece acesso direto às lesões compressivas anteriores, com menor tempo cirúrgico, menor perda sanguínea, internações mais curtas e menor taxa global de complicações quando comparada às vias posteriores. Contudo, a seleção adequada entre placas e espaçadores intersomáticos isolados (cages </w:t>
      </w:r>
      <w:r w:rsidRPr="00312AC9">
        <w:rPr>
          <w:rFonts w:ascii="Arial" w:eastAsia="Times New Roman" w:hAnsi="Arial" w:cs="Arial"/>
          <w:i/>
          <w:iCs/>
          <w:color w:val="1F1F1F"/>
          <w:kern w:val="0"/>
          <w:bdr w:val="none" w:sz="0" w:space="0" w:color="auto" w:frame="1"/>
          <w14:ligatures w14:val="none"/>
        </w:rPr>
        <w:t>stand-alone</w:t>
      </w:r>
      <w:r w:rsidRPr="00312AC9">
        <w:rPr>
          <w:rFonts w:ascii="Arial" w:eastAsia="Times New Roman" w:hAnsi="Arial" w:cs="Arial"/>
          <w:color w:val="1F1F1F"/>
          <w:kern w:val="0"/>
          <w:bdr w:val="none" w:sz="0" w:space="0" w:color="auto" w:frame="1"/>
          <w14:ligatures w14:val="none"/>
        </w:rPr>
        <w:t>), o manejo de deformidades ou instabilidades biomecânicas graves e a prevenção de intercorrências específicas da via anterior — como disfagia, disfonia por lesão do nervo laríngeo recorrente, edema de vias aéreas e paralisia de C5 — permanecem desafios cruciais na prática cirúrgica.</w:t>
      </w:r>
      <w:r w:rsidRPr="00312AC9">
        <w:rPr>
          <w:rFonts w:ascii="Arial" w:eastAsia="Times New Roman" w:hAnsi="Arial" w:cs="Arial"/>
          <w:color w:val="1F1F1F"/>
          <w:kern w:val="0"/>
          <w14:ligatures w14:val="none"/>
        </w:rPr>
        <w:t xml:space="preserve"> </w:t>
      </w:r>
    </w:p>
    <w:p w14:paraId="0B1EC10D"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35E0D8C7"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Objetivo do capítulo</w:t>
      </w:r>
    </w:p>
    <w:p w14:paraId="0DE927F5"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44AE976E"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 xml:space="preserve">Este capítulo visa capacitar o leitor a compreender e executar detalhadamente as técnicas de fixação cervical anterior subaxial. Ao final do estudo, o profissional deverá dominar a anatomia topográfica do acesso de Smith-Robinson, identificar as indicações e contraindicações da via anterior isolada frente às abordagens combinadas, selecionar adequadamente os implantes (placas versus cages </w:t>
      </w:r>
      <w:r w:rsidRPr="00312AC9">
        <w:rPr>
          <w:rFonts w:ascii="Arial" w:eastAsia="Times New Roman" w:hAnsi="Arial" w:cs="Arial"/>
          <w:i/>
          <w:iCs/>
          <w:color w:val="1F1F1F"/>
          <w:kern w:val="0"/>
          <w:bdr w:val="none" w:sz="0" w:space="0" w:color="auto" w:frame="1"/>
          <w14:ligatures w14:val="none"/>
        </w:rPr>
        <w:t>stand-alone</w:t>
      </w:r>
      <w:r w:rsidRPr="00312AC9">
        <w:rPr>
          <w:rFonts w:ascii="Arial" w:eastAsia="Times New Roman" w:hAnsi="Arial" w:cs="Arial"/>
          <w:color w:val="1F1F1F"/>
          <w:kern w:val="0"/>
          <w:bdr w:val="none" w:sz="0" w:space="0" w:color="auto" w:frame="1"/>
          <w14:ligatures w14:val="none"/>
        </w:rPr>
        <w:t>) e aplicar estratégias preventivas e terapêuticas para as principais complicações perioperatórias.</w:t>
      </w:r>
      <w:r w:rsidRPr="00312AC9">
        <w:rPr>
          <w:rFonts w:ascii="Arial" w:eastAsia="Times New Roman" w:hAnsi="Arial" w:cs="Arial"/>
          <w:color w:val="1F1F1F"/>
          <w:kern w:val="0"/>
          <w14:ligatures w14:val="none"/>
        </w:rPr>
        <w:t xml:space="preserve"> </w:t>
      </w:r>
    </w:p>
    <w:p w14:paraId="78F41DFD"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482F7A9B"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Conteúdo principal</w:t>
      </w:r>
    </w:p>
    <w:p w14:paraId="607F6459"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12399495"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Histórico e Princípios Biomecânicos</w:t>
      </w:r>
      <w:r w:rsidRPr="00312AC9">
        <w:rPr>
          <w:rFonts w:ascii="Arial" w:eastAsia="Times New Roman" w:hAnsi="Arial" w:cs="Arial"/>
          <w:color w:val="1F1F1F"/>
          <w:kern w:val="0"/>
          <w:bdr w:val="none" w:sz="0" w:space="0" w:color="auto" w:frame="1"/>
          <w14:ligatures w14:val="none"/>
        </w:rPr>
        <w:t xml:space="preserve"> A evolução dos sistemas de fixação anterior transitou de placas rígidas bicorticais para sistemas de bloqueio unicortical e placas dinâmicas com parafusos de ângulo variável, que favorecem o compartilhamento de carga. A adição da placa proporciona estabilização imediata, previne a extrusão do enxerto, mantém o alinhamento sagital e reduz a necessidade de imobilização externa. Em contrapartida, o uso de espaçadores intersomáticos isolados (</w:t>
      </w:r>
      <w:r w:rsidRPr="00312AC9">
        <w:rPr>
          <w:rFonts w:ascii="Arial" w:eastAsia="Times New Roman" w:hAnsi="Arial" w:cs="Arial"/>
          <w:i/>
          <w:iCs/>
          <w:color w:val="1F1F1F"/>
          <w:kern w:val="0"/>
          <w:bdr w:val="none" w:sz="0" w:space="0" w:color="auto" w:frame="1"/>
          <w14:ligatures w14:val="none"/>
        </w:rPr>
        <w:t>stand-alone</w:t>
      </w:r>
      <w:r w:rsidRPr="00312AC9">
        <w:rPr>
          <w:rFonts w:ascii="Arial" w:eastAsia="Times New Roman" w:hAnsi="Arial" w:cs="Arial"/>
          <w:color w:val="1F1F1F"/>
          <w:kern w:val="0"/>
          <w:bdr w:val="none" w:sz="0" w:space="0" w:color="auto" w:frame="1"/>
          <w14:ligatures w14:val="none"/>
        </w:rPr>
        <w:t xml:space="preserve">), com ou </w:t>
      </w:r>
      <w:r w:rsidRPr="00312AC9">
        <w:rPr>
          <w:rFonts w:ascii="Arial" w:eastAsia="Times New Roman" w:hAnsi="Arial" w:cs="Arial"/>
          <w:color w:val="1F1F1F"/>
          <w:kern w:val="0"/>
          <w:bdr w:val="none" w:sz="0" w:space="0" w:color="auto" w:frame="1"/>
          <w14:ligatures w14:val="none"/>
        </w:rPr>
        <w:lastRenderedPageBreak/>
        <w:t xml:space="preserve">sem parafusos integrados, apresenta taxas de fusão e resultados clínicos comparáveis aos da placa em discectomias de 1 ou 2 níveis na ausência de fatores de risco para não fusão (como tabagismo ou osteoporose), reduzindo tempo cirúrgico, sangramento, disfagia e ossificação adjacente. Em procedimentos com mais de 3 níveis, a associação de cage </w:t>
      </w:r>
      <w:r w:rsidRPr="00312AC9">
        <w:rPr>
          <w:rFonts w:ascii="Arial" w:eastAsia="Times New Roman" w:hAnsi="Arial" w:cs="Arial"/>
          <w:i/>
          <w:iCs/>
          <w:color w:val="1F1F1F"/>
          <w:kern w:val="0"/>
          <w:bdr w:val="none" w:sz="0" w:space="0" w:color="auto" w:frame="1"/>
          <w14:ligatures w14:val="none"/>
        </w:rPr>
        <w:t>stand-alone</w:t>
      </w:r>
      <w:r w:rsidRPr="00312AC9">
        <w:rPr>
          <w:rFonts w:ascii="Arial" w:eastAsia="Times New Roman" w:hAnsi="Arial" w:cs="Arial"/>
          <w:color w:val="1F1F1F"/>
          <w:kern w:val="0"/>
          <w:bdr w:val="none" w:sz="0" w:space="0" w:color="auto" w:frame="1"/>
          <w14:ligatures w14:val="none"/>
        </w:rPr>
        <w:t xml:space="preserve"> no nível mais cranial com placa nos demais reduz complicações da placa extensa, devendo-se evitar o cage isolado em níveis caudais devido ao risco de pseudoartrose.</w:t>
      </w:r>
      <w:r w:rsidRPr="00312AC9">
        <w:rPr>
          <w:rFonts w:ascii="Arial" w:eastAsia="Times New Roman" w:hAnsi="Arial" w:cs="Arial"/>
          <w:color w:val="1F1F1F"/>
          <w:kern w:val="0"/>
          <w14:ligatures w14:val="none"/>
        </w:rPr>
        <w:t xml:space="preserve"> </w:t>
      </w:r>
    </w:p>
    <w:p w14:paraId="4605E155"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6AA26579"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Indicações, Contraindicações e Técnica Cirúrgica</w:t>
      </w:r>
      <w:r w:rsidRPr="00312AC9">
        <w:rPr>
          <w:rFonts w:ascii="Arial" w:eastAsia="Times New Roman" w:hAnsi="Arial" w:cs="Arial"/>
          <w:color w:val="1F1F1F"/>
          <w:kern w:val="0"/>
          <w:bdr w:val="none" w:sz="0" w:space="0" w:color="auto" w:frame="1"/>
          <w14:ligatures w14:val="none"/>
        </w:rPr>
        <w:t xml:space="preserve"> A via anterior é indicada no tratamento de fraturas, luxações, instabilidade, mielopatia cervical e espondilose avançada. A principal limitação ocorre em lesões por flexão-distração no segmento subaxial caudal com comprometimento capsular e ligamentar posterior, nas quais a via anterior isolada possui menor estabilidade, sendo indicada a complementação posterior.</w:t>
      </w:r>
      <w:r w:rsidRPr="00312AC9">
        <w:rPr>
          <w:rFonts w:ascii="Arial" w:eastAsia="Times New Roman" w:hAnsi="Arial" w:cs="Arial"/>
          <w:color w:val="1F1F1F"/>
          <w:kern w:val="0"/>
          <w14:ligatures w14:val="none"/>
        </w:rPr>
        <w:t xml:space="preserve"> </w:t>
      </w:r>
    </w:p>
    <w:p w14:paraId="731BCCDD"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0C8F286F"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O procedimento exige avaliação pré-operatória criteriosa e monitorização neurofisiológica intraoperatória (MNIO) durante o posicionamento e etapas críticas. O paciente é posicionado com coxins sob as escápulas para restauração da lordose, cabeça neutra e tubo endotraqueal contralateral ao acesso. A incisão Smith-Robinson (transversa de 3 a 5 cm para 2-3 discos) é seguida da secção do platisma e dissecção digital entre o esternocleidomastóideo/bainha carotídea (lateralmente) e esôfago/traqueia (medialmente). A marcação do nível deve ser feita no corpo vertebral com pino do distrator de Caspar, evitando perfurar discos assintomáticos.</w:t>
      </w:r>
      <w:r w:rsidRPr="00312AC9">
        <w:rPr>
          <w:rFonts w:ascii="Arial" w:eastAsia="Times New Roman" w:hAnsi="Arial" w:cs="Arial"/>
          <w:color w:val="1F1F1F"/>
          <w:kern w:val="0"/>
          <w14:ligatures w14:val="none"/>
        </w:rPr>
        <w:t xml:space="preserve"> </w:t>
      </w:r>
    </w:p>
    <w:p w14:paraId="6B0EDE3F"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3471125F"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Após descompressão do canal, ressecção do ligamento longitudinal posterior (LLP) e visualização da dura-máter sob microscopia, realiza-se a fusão. Em corpectomias por fraturas ou compressão posterior ao corpo, a reconstrução é feita com enxerto tricortical ou gaiolas de titânio ou poliéter-éter-cetona (PEEK). No entanto, discectomias múltiplas são preferíveis por demandarem menor tempo cirúrgico, menor sangramento e proporcionarem melhor alinhamento sagital. Para placas anteriores, recomenda-se manter distância mínima de 5 mm em relação aos discos adjacentes não operados para prevenir ossificação heterotópica.</w:t>
      </w:r>
      <w:r w:rsidRPr="00312AC9">
        <w:rPr>
          <w:rFonts w:ascii="Arial" w:eastAsia="Times New Roman" w:hAnsi="Arial" w:cs="Arial"/>
          <w:color w:val="1F1F1F"/>
          <w:kern w:val="0"/>
          <w14:ligatures w14:val="none"/>
        </w:rPr>
        <w:t xml:space="preserve"> </w:t>
      </w:r>
    </w:p>
    <w:p w14:paraId="70DA872C"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0A8099D3"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Resultados Clínicos, Complicações e Novas Perspectivas</w:t>
      </w:r>
      <w:r w:rsidRPr="00312AC9">
        <w:rPr>
          <w:rFonts w:ascii="Arial" w:eastAsia="Times New Roman" w:hAnsi="Arial" w:cs="Arial"/>
          <w:color w:val="1F1F1F"/>
          <w:kern w:val="0"/>
          <w:bdr w:val="none" w:sz="0" w:space="0" w:color="auto" w:frame="1"/>
          <w14:ligatures w14:val="none"/>
        </w:rPr>
        <w:t xml:space="preserve"> A discectomia cervical anterior com fusão (ACDF, do inglês </w:t>
      </w:r>
      <w:r w:rsidRPr="00312AC9">
        <w:rPr>
          <w:rFonts w:ascii="Arial" w:eastAsia="Times New Roman" w:hAnsi="Arial" w:cs="Arial"/>
          <w:i/>
          <w:iCs/>
          <w:color w:val="1F1F1F"/>
          <w:kern w:val="0"/>
          <w:bdr w:val="none" w:sz="0" w:space="0" w:color="auto" w:frame="1"/>
          <w14:ligatures w14:val="none"/>
        </w:rPr>
        <w:t>anterior cervical discectomy and fusion</w:t>
      </w:r>
      <w:r w:rsidRPr="00312AC9">
        <w:rPr>
          <w:rFonts w:ascii="Arial" w:eastAsia="Times New Roman" w:hAnsi="Arial" w:cs="Arial"/>
          <w:color w:val="1F1F1F"/>
          <w:kern w:val="0"/>
          <w:bdr w:val="none" w:sz="0" w:space="0" w:color="auto" w:frame="1"/>
          <w14:ligatures w14:val="none"/>
        </w:rPr>
        <w:t xml:space="preserve">) proporciona alívio rápido de cervicalgia, radiculopatia e déficits motores. As complicações incluem obstrução de vias aéreas por edema (1% a 14%), disfonia por paralisia do nervo laríngeo recorrente (0,6% a 2,9% em centros de referência; mitigada mantendo pressão do </w:t>
      </w:r>
      <w:r w:rsidRPr="00312AC9">
        <w:rPr>
          <w:rFonts w:ascii="Arial" w:eastAsia="Times New Roman" w:hAnsi="Arial" w:cs="Arial"/>
          <w:i/>
          <w:iCs/>
          <w:color w:val="1F1F1F"/>
          <w:kern w:val="0"/>
          <w:bdr w:val="none" w:sz="0" w:space="0" w:color="auto" w:frame="1"/>
          <w14:ligatures w14:val="none"/>
        </w:rPr>
        <w:t>cuff</w:t>
      </w:r>
      <w:r w:rsidRPr="00312AC9">
        <w:rPr>
          <w:rFonts w:ascii="Arial" w:eastAsia="Times New Roman" w:hAnsi="Arial" w:cs="Arial"/>
          <w:color w:val="1F1F1F"/>
          <w:kern w:val="0"/>
          <w:bdr w:val="none" w:sz="0" w:space="0" w:color="auto" w:frame="1"/>
          <w14:ligatures w14:val="none"/>
        </w:rPr>
        <w:t xml:space="preserve"> do tubo endotraqueal até 20 mmHg), disfagia (até 71%), paralisia de C5 (5% a 10%), hematoma pós-operatório (5,6%) e perfuração esofágica (0,3%). Novas abordagens, como parafusos transpediculares anteriores, fixação axial transdiscal anterior e técnicas de redução anterior de luxações facetárias, buscam aumentar a rigidez biomecânica e evitar a via posterior suplementar.</w:t>
      </w:r>
      <w:r w:rsidRPr="00312AC9">
        <w:rPr>
          <w:rFonts w:ascii="Arial" w:eastAsia="Times New Roman" w:hAnsi="Arial" w:cs="Arial"/>
          <w:color w:val="1F1F1F"/>
          <w:kern w:val="0"/>
          <w14:ligatures w14:val="none"/>
        </w:rPr>
        <w:t xml:space="preserve"> </w:t>
      </w:r>
    </w:p>
    <w:p w14:paraId="0299EA47"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65BD693A"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Aplicação clínica</w:t>
      </w:r>
    </w:p>
    <w:p w14:paraId="2E7AC232"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3678C6C4"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lastRenderedPageBreak/>
        <w:t xml:space="preserve">Na prática clínica, o conhecimento técnico detalhado orienta a seleção individualizada da estratégia cirúrgica na coluna cervical subaxial. Para pacientes sem fatores de risco com acometimento de 1 ou 2 níveis, a opção por cages </w:t>
      </w:r>
      <w:r w:rsidRPr="00312AC9">
        <w:rPr>
          <w:rFonts w:ascii="Arial" w:eastAsia="Times New Roman" w:hAnsi="Arial" w:cs="Arial"/>
          <w:i/>
          <w:iCs/>
          <w:color w:val="1F1F1F"/>
          <w:kern w:val="0"/>
          <w:bdr w:val="none" w:sz="0" w:space="0" w:color="auto" w:frame="1"/>
          <w14:ligatures w14:val="none"/>
        </w:rPr>
        <w:t>stand-alone</w:t>
      </w:r>
      <w:r w:rsidRPr="00312AC9">
        <w:rPr>
          <w:rFonts w:ascii="Arial" w:eastAsia="Times New Roman" w:hAnsi="Arial" w:cs="Arial"/>
          <w:color w:val="1F1F1F"/>
          <w:kern w:val="0"/>
          <w:bdr w:val="none" w:sz="0" w:space="0" w:color="auto" w:frame="1"/>
          <w14:ligatures w14:val="none"/>
        </w:rPr>
        <w:t xml:space="preserve"> reduz a morbidade cirúrgica e o risco de disfagia sem comprometer as taxas de fusão. Em casos de deformidade em cifose, instabilidade, doença multissegmentar ou alto risco de subsidência, o emprego da placa anterior associada a cages garante o suporte biomecânico e a restauração do alinhamento sagital.</w:t>
      </w:r>
      <w:r w:rsidRPr="00312AC9">
        <w:rPr>
          <w:rFonts w:ascii="Arial" w:eastAsia="Times New Roman" w:hAnsi="Arial" w:cs="Arial"/>
          <w:color w:val="1F1F1F"/>
          <w:kern w:val="0"/>
          <w14:ligatures w14:val="none"/>
        </w:rPr>
        <w:t xml:space="preserve"> </w:t>
      </w:r>
    </w:p>
    <w:p w14:paraId="526E156F"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6439210F"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A segurança do procedimento depende da rigorosa observância dos passos técnicos e do manejo preventivo de riscos. A utilização de MNIO desde o posicionamento inicial previne déficits iatrogênicos. Para minimizar a incidência de disfonia pós-operatória, o cirurgião deve monitorar a pressão do tubo endotraqueal (mantendo-a até 20 mmHg) e realizar deflação intermitente em cirurgias prolongadas. Na descompressão neural, o uso de pequenas curetas curvas auxilia no mapeamento do ligamento longitudinal posterior e do limite ósseo posterior, evitando lacerações durais. Diante de lesões altamente instáveis com disrupção do complexo ligamentar posterior, o cirurgião deve reconhecer a limitação do acesso anterior isolado e planejar a fixação posterior suplementar.</w:t>
      </w:r>
      <w:r w:rsidRPr="00312AC9">
        <w:rPr>
          <w:rFonts w:ascii="Arial" w:eastAsia="Times New Roman" w:hAnsi="Arial" w:cs="Arial"/>
          <w:color w:val="1F1F1F"/>
          <w:kern w:val="0"/>
          <w14:ligatures w14:val="none"/>
        </w:rPr>
        <w:t xml:space="preserve"> </w:t>
      </w:r>
    </w:p>
    <w:p w14:paraId="7EB61F34"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2BD7F72B"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Mensagem central</w:t>
      </w:r>
    </w:p>
    <w:p w14:paraId="1731E80B"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709FA30B"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 xml:space="preserve">A fixação cervical anterior representa uma técnica consagrada e eficaz para o tratamento de afecções degenerativas e traumáticas da coluna subaxial, oferecendo excelente descompressão e altas taxas de fusão. O sucesso cirúrgico baseia-se no domínio da anatomia do acesso Smith-Robinson, na seleção criteriosa do implante — reservando as placas para múltiplos níveis, instabilidade ou correção sagital, e cages </w:t>
      </w:r>
      <w:r w:rsidRPr="00312AC9">
        <w:rPr>
          <w:rFonts w:ascii="Arial" w:eastAsia="Times New Roman" w:hAnsi="Arial" w:cs="Arial"/>
          <w:i/>
          <w:iCs/>
          <w:color w:val="1F1F1F"/>
          <w:kern w:val="0"/>
          <w:bdr w:val="none" w:sz="0" w:space="0" w:color="auto" w:frame="1"/>
          <w14:ligatures w14:val="none"/>
        </w:rPr>
        <w:t>stand-alone</w:t>
      </w:r>
      <w:r w:rsidRPr="00312AC9">
        <w:rPr>
          <w:rFonts w:ascii="Arial" w:eastAsia="Times New Roman" w:hAnsi="Arial" w:cs="Arial"/>
          <w:color w:val="1F1F1F"/>
          <w:kern w:val="0"/>
          <w:bdr w:val="none" w:sz="0" w:space="0" w:color="auto" w:frame="1"/>
          <w14:ligatures w14:val="none"/>
        </w:rPr>
        <w:t xml:space="preserve"> para casos selecionados — e na adoção de medidas rigorosas de proteção neurológica e de partes moles.</w:t>
      </w:r>
      <w:r w:rsidRPr="00312AC9">
        <w:rPr>
          <w:rFonts w:ascii="Arial" w:eastAsia="Times New Roman" w:hAnsi="Arial" w:cs="Arial"/>
          <w:color w:val="1F1F1F"/>
          <w:kern w:val="0"/>
          <w14:ligatures w14:val="none"/>
        </w:rPr>
        <w:t xml:space="preserve"> </w:t>
      </w:r>
    </w:p>
    <w:p w14:paraId="373ECDEA"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7F6E59A7"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Janela de destaque — Por que este capítulo importa</w:t>
      </w:r>
    </w:p>
    <w:p w14:paraId="47725F18"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09B6E620"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As cirurgias cervicais anteriores estão entre os procedimentos mais executados na cirurgia da coluna, exigindo precisão milimétrica em um corredor anatômico denso em estruturas nobres, como a artéria carótida, o esôfago e o nervo laríngeo recorrente. Este capítulo é indispensável ao sintetizar a evolução biomecânica das fixações, fornecer parâmetros claros para a escolha entre placas e cages isolados e detalhar manobras intraoperatórias essenciais. A correta aplicação das recomendações técnicas previne complicações graves, como obstrução de vias aéreas, perfurações viscerais e paralisia de C5, otimizando os desfechos neurológicos e funcionais dos pacientes.</w:t>
      </w:r>
      <w:r w:rsidRPr="00312AC9">
        <w:rPr>
          <w:rFonts w:ascii="Arial" w:eastAsia="Times New Roman" w:hAnsi="Arial" w:cs="Arial"/>
          <w:color w:val="1F1F1F"/>
          <w:kern w:val="0"/>
          <w14:ligatures w14:val="none"/>
        </w:rPr>
        <w:t xml:space="preserve"> </w:t>
      </w:r>
    </w:p>
    <w:p w14:paraId="48A71B43"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4DCDB7AD"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Palavras-chave e descritores</w:t>
      </w:r>
    </w:p>
    <w:p w14:paraId="680C359F"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3772036F" w14:textId="77777777" w:rsidR="00312AC9" w:rsidRPr="00312AC9" w:rsidRDefault="00312AC9" w:rsidP="00312AC9">
      <w:pPr>
        <w:numPr>
          <w:ilvl w:val="0"/>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Descritores DeCS (Português):</w:t>
      </w:r>
    </w:p>
    <w:p w14:paraId="2BFA77AB"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42CD9364"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lastRenderedPageBreak/>
        <w:t>Região Cervical</w:t>
      </w:r>
      <w:r w:rsidRPr="00312AC9">
        <w:rPr>
          <w:rFonts w:ascii="Arial" w:eastAsia="Times New Roman" w:hAnsi="Arial" w:cs="Arial"/>
          <w:color w:val="1F1F1F"/>
          <w:kern w:val="0"/>
          <w14:ligatures w14:val="none"/>
        </w:rPr>
        <w:t xml:space="preserve"> </w:t>
      </w:r>
    </w:p>
    <w:p w14:paraId="639C4CFA"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7E41F100"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Fusão Vertebral</w:t>
      </w:r>
      <w:r w:rsidRPr="00312AC9">
        <w:rPr>
          <w:rFonts w:ascii="Arial" w:eastAsia="Times New Roman" w:hAnsi="Arial" w:cs="Arial"/>
          <w:color w:val="1F1F1F"/>
          <w:kern w:val="0"/>
          <w14:ligatures w14:val="none"/>
        </w:rPr>
        <w:t xml:space="preserve"> </w:t>
      </w:r>
    </w:p>
    <w:p w14:paraId="42C79991"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7E5B2038"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Discectomia</w:t>
      </w:r>
      <w:r w:rsidRPr="00312AC9">
        <w:rPr>
          <w:rFonts w:ascii="Arial" w:eastAsia="Times New Roman" w:hAnsi="Arial" w:cs="Arial"/>
          <w:color w:val="1F1F1F"/>
          <w:kern w:val="0"/>
          <w14:ligatures w14:val="none"/>
        </w:rPr>
        <w:t xml:space="preserve"> </w:t>
      </w:r>
    </w:p>
    <w:p w14:paraId="08F00EAA"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7C6F4F12"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Implantes Espinhais</w:t>
      </w:r>
      <w:r w:rsidRPr="00312AC9">
        <w:rPr>
          <w:rFonts w:ascii="Arial" w:eastAsia="Times New Roman" w:hAnsi="Arial" w:cs="Arial"/>
          <w:color w:val="1F1F1F"/>
          <w:kern w:val="0"/>
          <w14:ligatures w14:val="none"/>
        </w:rPr>
        <w:t xml:space="preserve"> </w:t>
      </w:r>
    </w:p>
    <w:p w14:paraId="55395209"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130CFDB6"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Mielopatia Compressiva</w:t>
      </w:r>
      <w:r w:rsidRPr="00312AC9">
        <w:rPr>
          <w:rFonts w:ascii="Arial" w:eastAsia="Times New Roman" w:hAnsi="Arial" w:cs="Arial"/>
          <w:color w:val="1F1F1F"/>
          <w:kern w:val="0"/>
          <w14:ligatures w14:val="none"/>
        </w:rPr>
        <w:t xml:space="preserve"> </w:t>
      </w:r>
    </w:p>
    <w:p w14:paraId="746DEBCE"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37FC42FC" w14:textId="77777777" w:rsidR="00312AC9" w:rsidRPr="00312AC9" w:rsidRDefault="00312AC9" w:rsidP="00312AC9">
      <w:pPr>
        <w:numPr>
          <w:ilvl w:val="0"/>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Descritores MeSH (Inglês):</w:t>
      </w:r>
    </w:p>
    <w:p w14:paraId="63A28ED8"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6E4ED161"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Cervical Vertebrae</w:t>
      </w:r>
      <w:r w:rsidRPr="00312AC9">
        <w:rPr>
          <w:rFonts w:ascii="Arial" w:eastAsia="Times New Roman" w:hAnsi="Arial" w:cs="Arial"/>
          <w:color w:val="1F1F1F"/>
          <w:kern w:val="0"/>
          <w14:ligatures w14:val="none"/>
        </w:rPr>
        <w:t xml:space="preserve"> </w:t>
      </w:r>
    </w:p>
    <w:p w14:paraId="60C35911"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413CD17E"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Spinal Fusion</w:t>
      </w:r>
      <w:r w:rsidRPr="00312AC9">
        <w:rPr>
          <w:rFonts w:ascii="Arial" w:eastAsia="Times New Roman" w:hAnsi="Arial" w:cs="Arial"/>
          <w:color w:val="1F1F1F"/>
          <w:kern w:val="0"/>
          <w14:ligatures w14:val="none"/>
        </w:rPr>
        <w:t xml:space="preserve"> </w:t>
      </w:r>
    </w:p>
    <w:p w14:paraId="553DB354"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3B156E37"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Diskectomy</w:t>
      </w:r>
      <w:r w:rsidRPr="00312AC9">
        <w:rPr>
          <w:rFonts w:ascii="Arial" w:eastAsia="Times New Roman" w:hAnsi="Arial" w:cs="Arial"/>
          <w:color w:val="1F1F1F"/>
          <w:kern w:val="0"/>
          <w14:ligatures w14:val="none"/>
        </w:rPr>
        <w:t xml:space="preserve"> </w:t>
      </w:r>
    </w:p>
    <w:p w14:paraId="4031FF82"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5923FBA9"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Prostheses and Implants</w:t>
      </w:r>
      <w:r w:rsidRPr="00312AC9">
        <w:rPr>
          <w:rFonts w:ascii="Arial" w:eastAsia="Times New Roman" w:hAnsi="Arial" w:cs="Arial"/>
          <w:color w:val="1F1F1F"/>
          <w:kern w:val="0"/>
          <w14:ligatures w14:val="none"/>
        </w:rPr>
        <w:t xml:space="preserve"> </w:t>
      </w:r>
    </w:p>
    <w:p w14:paraId="547A6FA4"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7819B9F8" w14:textId="77777777" w:rsidR="00312AC9" w:rsidRPr="00312AC9" w:rsidRDefault="00312AC9" w:rsidP="00312AC9">
      <w:pPr>
        <w:numPr>
          <w:ilvl w:val="1"/>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Spinal Cord Compression</w:t>
      </w:r>
      <w:r w:rsidRPr="00312AC9">
        <w:rPr>
          <w:rFonts w:ascii="Arial" w:eastAsia="Times New Roman" w:hAnsi="Arial" w:cs="Arial"/>
          <w:color w:val="1F1F1F"/>
          <w:kern w:val="0"/>
          <w14:ligatures w14:val="none"/>
        </w:rPr>
        <w:t xml:space="preserve"> </w:t>
      </w:r>
    </w:p>
    <w:p w14:paraId="0E0065AB" w14:textId="77777777" w:rsidR="00312AC9" w:rsidRPr="00312AC9" w:rsidRDefault="00312AC9" w:rsidP="00312AC9">
      <w:pPr>
        <w:spacing w:after="0" w:line="240" w:lineRule="auto"/>
        <w:ind w:left="1440"/>
        <w:rPr>
          <w:rFonts w:ascii="Arial" w:eastAsia="Times New Roman" w:hAnsi="Arial" w:cs="Arial"/>
          <w:color w:val="1F1F1F"/>
          <w:kern w:val="0"/>
          <w14:ligatures w14:val="none"/>
        </w:rPr>
      </w:pPr>
    </w:p>
    <w:p w14:paraId="40490D4A" w14:textId="77777777" w:rsidR="00312AC9" w:rsidRPr="00312AC9" w:rsidRDefault="00312AC9" w:rsidP="00312AC9">
      <w:pPr>
        <w:numPr>
          <w:ilvl w:val="0"/>
          <w:numId w:val="2"/>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Palavras-chave livres:</w:t>
      </w:r>
      <w:r w:rsidRPr="00312AC9">
        <w:rPr>
          <w:rFonts w:ascii="Arial" w:eastAsia="Times New Roman" w:hAnsi="Arial" w:cs="Arial"/>
          <w:color w:val="1F1F1F"/>
          <w:kern w:val="0"/>
          <w14:ligatures w14:val="none"/>
        </w:rPr>
        <w:t xml:space="preserve"> ACDF, Cage stand-alone, Placa cervical anterior.</w:t>
      </w:r>
    </w:p>
    <w:p w14:paraId="4D8FA440"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1A9D1953"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Três cards de destaque</w:t>
      </w:r>
    </w:p>
    <w:p w14:paraId="17E1321D" w14:textId="77777777" w:rsidR="00312AC9" w:rsidRPr="00312AC9" w:rsidRDefault="00312AC9" w:rsidP="00312AC9">
      <w:pPr>
        <w:spacing w:after="0" w:line="240" w:lineRule="auto"/>
        <w:rPr>
          <w:rFonts w:ascii="Arial" w:eastAsia="Times New Roman" w:hAnsi="Arial" w:cs="Arial"/>
          <w:color w:val="1F1F1F"/>
          <w:kern w:val="0"/>
          <w14:ligatures w14:val="none"/>
        </w:rPr>
      </w:pPr>
    </w:p>
    <w:p w14:paraId="354C356A"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Card 1 — Conceito essencial</w:t>
      </w:r>
    </w:p>
    <w:p w14:paraId="47A9E3CC"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5B94DD1A" w14:textId="77777777" w:rsidR="00312AC9" w:rsidRPr="00312AC9" w:rsidRDefault="00312AC9" w:rsidP="00312AC9">
      <w:pPr>
        <w:numPr>
          <w:ilvl w:val="0"/>
          <w:numId w:val="3"/>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Título:</w:t>
      </w:r>
      <w:r w:rsidRPr="00312AC9">
        <w:rPr>
          <w:rFonts w:ascii="Arial" w:eastAsia="Times New Roman" w:hAnsi="Arial" w:cs="Arial"/>
          <w:color w:val="1F1F1F"/>
          <w:kern w:val="0"/>
          <w:bdr w:val="none" w:sz="0" w:space="0" w:color="auto" w:frame="1"/>
          <w14:ligatures w14:val="none"/>
        </w:rPr>
        <w:t xml:space="preserve"> Seleção do Implante Intersomático</w:t>
      </w:r>
      <w:r w:rsidRPr="00312AC9">
        <w:rPr>
          <w:rFonts w:ascii="Arial" w:eastAsia="Times New Roman" w:hAnsi="Arial" w:cs="Arial"/>
          <w:color w:val="1F1F1F"/>
          <w:kern w:val="0"/>
          <w14:ligatures w14:val="none"/>
        </w:rPr>
        <w:t xml:space="preserve"> </w:t>
      </w:r>
    </w:p>
    <w:p w14:paraId="78F32009"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2220E132" w14:textId="77777777" w:rsidR="00312AC9" w:rsidRPr="00312AC9" w:rsidRDefault="00312AC9" w:rsidP="00312AC9">
      <w:pPr>
        <w:numPr>
          <w:ilvl w:val="0"/>
          <w:numId w:val="3"/>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Texto:</w:t>
      </w:r>
      <w:r w:rsidRPr="00312AC9">
        <w:rPr>
          <w:rFonts w:ascii="Arial" w:eastAsia="Times New Roman" w:hAnsi="Arial" w:cs="Arial"/>
          <w:color w:val="1F1F1F"/>
          <w:kern w:val="0"/>
          <w:bdr w:val="none" w:sz="0" w:space="0" w:color="auto" w:frame="1"/>
          <w14:ligatures w14:val="none"/>
        </w:rPr>
        <w:t xml:space="preserve"> Cages </w:t>
      </w:r>
      <w:r w:rsidRPr="00312AC9">
        <w:rPr>
          <w:rFonts w:ascii="Arial" w:eastAsia="Times New Roman" w:hAnsi="Arial" w:cs="Arial"/>
          <w:i/>
          <w:iCs/>
          <w:color w:val="1F1F1F"/>
          <w:kern w:val="0"/>
          <w:bdr w:val="none" w:sz="0" w:space="0" w:color="auto" w:frame="1"/>
          <w14:ligatures w14:val="none"/>
        </w:rPr>
        <w:t>stand-alone</w:t>
      </w:r>
      <w:r w:rsidRPr="00312AC9">
        <w:rPr>
          <w:rFonts w:ascii="Arial" w:eastAsia="Times New Roman" w:hAnsi="Arial" w:cs="Arial"/>
          <w:color w:val="1F1F1F"/>
          <w:kern w:val="0"/>
          <w:bdr w:val="none" w:sz="0" w:space="0" w:color="auto" w:frame="1"/>
          <w14:ligatures w14:val="none"/>
        </w:rPr>
        <w:t xml:space="preserve"> apresentam resultados clínicos e de fusão semelhantes às placas em ACDF de 1 ou 2 níveis em pacientes sem fatores de risco. Essa opção reduz o tempo cirúrgico, o sangramento e a incidência de disfagia e ossificação do disco adjacente. O uso de placas permanece preferível para múltiplos níveis ou necessidade de correção de curva.</w:t>
      </w:r>
      <w:r w:rsidRPr="00312AC9">
        <w:rPr>
          <w:rFonts w:ascii="Arial" w:eastAsia="Times New Roman" w:hAnsi="Arial" w:cs="Arial"/>
          <w:color w:val="1F1F1F"/>
          <w:kern w:val="0"/>
          <w14:ligatures w14:val="none"/>
        </w:rPr>
        <w:t xml:space="preserve"> </w:t>
      </w:r>
    </w:p>
    <w:p w14:paraId="626C129B"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67129D2C"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Card 2 — Decisão clínica</w:t>
      </w:r>
    </w:p>
    <w:p w14:paraId="50248B28"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24FB6622" w14:textId="77777777" w:rsidR="00312AC9" w:rsidRPr="00312AC9" w:rsidRDefault="00312AC9" w:rsidP="00312AC9">
      <w:pPr>
        <w:numPr>
          <w:ilvl w:val="0"/>
          <w:numId w:val="4"/>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Título:</w:t>
      </w:r>
      <w:r w:rsidRPr="00312AC9">
        <w:rPr>
          <w:rFonts w:ascii="Arial" w:eastAsia="Times New Roman" w:hAnsi="Arial" w:cs="Arial"/>
          <w:color w:val="1F1F1F"/>
          <w:kern w:val="0"/>
          <w:bdr w:val="none" w:sz="0" w:space="0" w:color="auto" w:frame="1"/>
          <w14:ligatures w14:val="none"/>
        </w:rPr>
        <w:t xml:space="preserve"> Limitações da Via Anterior Isolada</w:t>
      </w:r>
      <w:r w:rsidRPr="00312AC9">
        <w:rPr>
          <w:rFonts w:ascii="Arial" w:eastAsia="Times New Roman" w:hAnsi="Arial" w:cs="Arial"/>
          <w:color w:val="1F1F1F"/>
          <w:kern w:val="0"/>
          <w14:ligatures w14:val="none"/>
        </w:rPr>
        <w:t xml:space="preserve"> </w:t>
      </w:r>
    </w:p>
    <w:p w14:paraId="5B89EFB4"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5BDC5EC" w14:textId="77777777" w:rsidR="00312AC9" w:rsidRPr="00312AC9" w:rsidRDefault="00312AC9" w:rsidP="00312AC9">
      <w:pPr>
        <w:numPr>
          <w:ilvl w:val="0"/>
          <w:numId w:val="4"/>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Texto:</w:t>
      </w:r>
      <w:r w:rsidRPr="00312AC9">
        <w:rPr>
          <w:rFonts w:ascii="Arial" w:eastAsia="Times New Roman" w:hAnsi="Arial" w:cs="Arial"/>
          <w:color w:val="1F1F1F"/>
          <w:kern w:val="0"/>
          <w:bdr w:val="none" w:sz="0" w:space="0" w:color="auto" w:frame="1"/>
          <w14:ligatures w14:val="none"/>
        </w:rPr>
        <w:t xml:space="preserve"> Em lesões traumáticas por flexão-distração no segmento subaxial caudal com disrupção das cápsulas facetárias e ligamentos posteriores, a fixação anterior isolada apresenta menor estabilidade biomecânica. Nessas situações de </w:t>
      </w:r>
      <w:r w:rsidRPr="00312AC9">
        <w:rPr>
          <w:rFonts w:ascii="Arial" w:eastAsia="Times New Roman" w:hAnsi="Arial" w:cs="Arial"/>
          <w:color w:val="1F1F1F"/>
          <w:kern w:val="0"/>
          <w:bdr w:val="none" w:sz="0" w:space="0" w:color="auto" w:frame="1"/>
          <w14:ligatures w14:val="none"/>
        </w:rPr>
        <w:lastRenderedPageBreak/>
        <w:t>grande instabilidade posterior, é recomendada a fixação complementar por via posterior para evitar a falha do material e o deslocamento dos implantes.</w:t>
      </w:r>
      <w:r w:rsidRPr="00312AC9">
        <w:rPr>
          <w:rFonts w:ascii="Arial" w:eastAsia="Times New Roman" w:hAnsi="Arial" w:cs="Arial"/>
          <w:color w:val="1F1F1F"/>
          <w:kern w:val="0"/>
          <w14:ligatures w14:val="none"/>
        </w:rPr>
        <w:t xml:space="preserve"> </w:t>
      </w:r>
    </w:p>
    <w:p w14:paraId="6C5EE066"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ED397F4"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Card 3 — Pérola ou alerta</w:t>
      </w:r>
    </w:p>
    <w:p w14:paraId="66791885"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4EAE9EF3" w14:textId="77777777" w:rsidR="00312AC9" w:rsidRPr="00312AC9" w:rsidRDefault="00312AC9" w:rsidP="00312AC9">
      <w:pPr>
        <w:numPr>
          <w:ilvl w:val="0"/>
          <w:numId w:val="5"/>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Título:</w:t>
      </w:r>
      <w:r w:rsidRPr="00312AC9">
        <w:rPr>
          <w:rFonts w:ascii="Arial" w:eastAsia="Times New Roman" w:hAnsi="Arial" w:cs="Arial"/>
          <w:color w:val="1F1F1F"/>
          <w:kern w:val="0"/>
          <w:bdr w:val="none" w:sz="0" w:space="0" w:color="auto" w:frame="1"/>
          <w14:ligatures w14:val="none"/>
        </w:rPr>
        <w:t xml:space="preserve"> Prevenção de Disfonia Pós-Operatória</w:t>
      </w:r>
      <w:r w:rsidRPr="00312AC9">
        <w:rPr>
          <w:rFonts w:ascii="Arial" w:eastAsia="Times New Roman" w:hAnsi="Arial" w:cs="Arial"/>
          <w:color w:val="1F1F1F"/>
          <w:kern w:val="0"/>
          <w14:ligatures w14:val="none"/>
        </w:rPr>
        <w:t xml:space="preserve"> </w:t>
      </w:r>
    </w:p>
    <w:p w14:paraId="1C14BB0D"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6258B557" w14:textId="77777777" w:rsidR="00312AC9" w:rsidRPr="00312AC9" w:rsidRDefault="00312AC9" w:rsidP="00312AC9">
      <w:pPr>
        <w:numPr>
          <w:ilvl w:val="0"/>
          <w:numId w:val="5"/>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Texto:</w:t>
      </w:r>
      <w:r w:rsidRPr="00312AC9">
        <w:rPr>
          <w:rFonts w:ascii="Arial" w:eastAsia="Times New Roman" w:hAnsi="Arial" w:cs="Arial"/>
          <w:color w:val="1F1F1F"/>
          <w:kern w:val="0"/>
          <w:bdr w:val="none" w:sz="0" w:space="0" w:color="auto" w:frame="1"/>
          <w14:ligatures w14:val="none"/>
        </w:rPr>
        <w:t xml:space="preserve"> A paralisia do nervo laríngeo recorrente associa-se ao tempo cirúrgico e à pressão exercida pelo tubo endotraqueal contra o retrator. Recomenda-se manter a insuflação do </w:t>
      </w:r>
      <w:r w:rsidRPr="00312AC9">
        <w:rPr>
          <w:rFonts w:ascii="Arial" w:eastAsia="Times New Roman" w:hAnsi="Arial" w:cs="Arial"/>
          <w:i/>
          <w:iCs/>
          <w:color w:val="1F1F1F"/>
          <w:kern w:val="0"/>
          <w:bdr w:val="none" w:sz="0" w:space="0" w:color="auto" w:frame="1"/>
          <w14:ligatures w14:val="none"/>
        </w:rPr>
        <w:t>cuff</w:t>
      </w:r>
      <w:r w:rsidRPr="00312AC9">
        <w:rPr>
          <w:rFonts w:ascii="Arial" w:eastAsia="Times New Roman" w:hAnsi="Arial" w:cs="Arial"/>
          <w:color w:val="1F1F1F"/>
          <w:kern w:val="0"/>
          <w:bdr w:val="none" w:sz="0" w:space="0" w:color="auto" w:frame="1"/>
          <w14:ligatures w14:val="none"/>
        </w:rPr>
        <w:t xml:space="preserve"> do tubo em pressões de no máximo 20 mmHg, além de realizar sua deflação intermitente durante procedimentos cirúrgicos de longa duração.</w:t>
      </w:r>
      <w:r w:rsidRPr="00312AC9">
        <w:rPr>
          <w:rFonts w:ascii="Arial" w:eastAsia="Times New Roman" w:hAnsi="Arial" w:cs="Arial"/>
          <w:color w:val="1F1F1F"/>
          <w:kern w:val="0"/>
          <w14:ligatures w14:val="none"/>
        </w:rPr>
        <w:t xml:space="preserve"> </w:t>
      </w:r>
    </w:p>
    <w:p w14:paraId="0031BFB9"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F94CC04"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Referências bibliográficas</w:t>
      </w:r>
    </w:p>
    <w:p w14:paraId="5A636495"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32169A01"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Denaro V, Di Martino A. Cervical spine surgery: an historical perspective. Clin Orthop Relat Res. 2011;469(3):639-48. doi: 10.1007/s11999-010-1752-3. PMID: 21213087; PMCID: PMC3032865.</w:t>
      </w:r>
      <w:r w:rsidRPr="00312AC9">
        <w:rPr>
          <w:rFonts w:ascii="Arial" w:eastAsia="Times New Roman" w:hAnsi="Arial" w:cs="Arial"/>
          <w:color w:val="1F1F1F"/>
          <w:kern w:val="0"/>
          <w14:ligatures w14:val="none"/>
        </w:rPr>
        <w:t xml:space="preserve"> </w:t>
      </w:r>
    </w:p>
    <w:p w14:paraId="281ED74E"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423694FE"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Bartels RHMA, Goffin J. Albert Dereymaeker and Joseph Cyriel Mulier's description of anterior cervical discectomy with fusion in 1955. J Neurosurg Spine. 2018; 28(4):395-400. doi: 10.3171/2017.7.SPINE17182. Epub 2018 Jan 12. PMID: 29327972.</w:t>
      </w:r>
      <w:r w:rsidRPr="00312AC9">
        <w:rPr>
          <w:rFonts w:ascii="Arial" w:eastAsia="Times New Roman" w:hAnsi="Arial" w:cs="Arial"/>
          <w:color w:val="1F1F1F"/>
          <w:kern w:val="0"/>
          <w14:ligatures w14:val="none"/>
        </w:rPr>
        <w:t xml:space="preserve"> </w:t>
      </w:r>
    </w:p>
    <w:p w14:paraId="42FE9CF4"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CD81DD3"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Cheung KM, Mak KC, Luk KD. Anterior approach to cervical spine. Spine (Phila Pa 1976). 2012;37(5):E297-302. doi: 10.1097/BRS.0b013e318239ccd8. PMID: 22020587.</w:t>
      </w:r>
      <w:r w:rsidRPr="00312AC9">
        <w:rPr>
          <w:rFonts w:ascii="Arial" w:eastAsia="Times New Roman" w:hAnsi="Arial" w:cs="Arial"/>
          <w:color w:val="1F1F1F"/>
          <w:kern w:val="0"/>
          <w14:ligatures w14:val="none"/>
        </w:rPr>
        <w:t xml:space="preserve"> </w:t>
      </w:r>
    </w:p>
    <w:p w14:paraId="49FCF1AE"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7D08BBD"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Omeis I, DeMattia JA, Hillard VH, Murali R, Das K. History of instrumentation for stabilization of the subaxial cervical spine. Neurosurg Focus. 2004;16(1):E10. doi: 10.3171/foc.2004.16.1.11. PMID: 15264788.</w:t>
      </w:r>
      <w:r w:rsidRPr="00312AC9">
        <w:rPr>
          <w:rFonts w:ascii="Arial" w:eastAsia="Times New Roman" w:hAnsi="Arial" w:cs="Arial"/>
          <w:color w:val="1F1F1F"/>
          <w:kern w:val="0"/>
          <w14:ligatures w14:val="none"/>
        </w:rPr>
        <w:t xml:space="preserve"> </w:t>
      </w:r>
    </w:p>
    <w:p w14:paraId="668D77DF"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C3C9847"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Zhang YW, Zeng T, Gao WC, Xiao X, Xiao Y, Chen X, et al. Progress of the Anterior Transpedicular Screw in Lower Cervical Spine: A Review. Med Sci Monit. 2019;25:6281-6290. doi: 10.12659/MSM.918061. PMID: 31432800; PMCID: PMC6714593.</w:t>
      </w:r>
      <w:r w:rsidRPr="00312AC9">
        <w:rPr>
          <w:rFonts w:ascii="Arial" w:eastAsia="Times New Roman" w:hAnsi="Arial" w:cs="Arial"/>
          <w:color w:val="1F1F1F"/>
          <w:kern w:val="0"/>
          <w14:ligatures w14:val="none"/>
        </w:rPr>
        <w:t xml:space="preserve"> </w:t>
      </w:r>
    </w:p>
    <w:p w14:paraId="1BAAB5B6"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7F09B964"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Aebi M. Surgical treatment of upper, middle and lower cervical injuries and non-unions by anterior procedures. Eur Spine J. 2010;19 Suppl 1(Suppl 1):S33-9. doi: 10.1007/s00586-009-1120-8. Epub 2009 Oct 14. PMID: 19826842; PMCID: PMC2899722.</w:t>
      </w:r>
      <w:r w:rsidRPr="00312AC9">
        <w:rPr>
          <w:rFonts w:ascii="Arial" w:eastAsia="Times New Roman" w:hAnsi="Arial" w:cs="Arial"/>
          <w:color w:val="1F1F1F"/>
          <w:kern w:val="0"/>
          <w14:ligatures w14:val="none"/>
        </w:rPr>
        <w:t xml:space="preserve"> </w:t>
      </w:r>
    </w:p>
    <w:p w14:paraId="331A2CF6"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E3BA7F8"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 xml:space="preserve">Li H, Yong Z, Chen Z, Huang Y, Lin Z, Wu D. Anterior cervical distraction and screw elevating-pulling reduction for traumatic cervical spine fractures and </w:t>
      </w:r>
      <w:r w:rsidRPr="00312AC9">
        <w:rPr>
          <w:rFonts w:ascii="Arial" w:eastAsia="Times New Roman" w:hAnsi="Arial" w:cs="Arial"/>
          <w:color w:val="1F1F1F"/>
          <w:kern w:val="0"/>
          <w:bdr w:val="none" w:sz="0" w:space="0" w:color="auto" w:frame="1"/>
          <w14:ligatures w14:val="none"/>
        </w:rPr>
        <w:lastRenderedPageBreak/>
        <w:t>dislocations: A retrospective analysis of 86 cases. Medicine (Baltimore). 2017;96(26):e7287. doi: 10.1097/MD.0000000000007287. PMID: 28658125; PMCID: PMC5500047.</w:t>
      </w:r>
      <w:r w:rsidRPr="00312AC9">
        <w:rPr>
          <w:rFonts w:ascii="Arial" w:eastAsia="Times New Roman" w:hAnsi="Arial" w:cs="Arial"/>
          <w:color w:val="1F1F1F"/>
          <w:kern w:val="0"/>
          <w14:ligatures w14:val="none"/>
        </w:rPr>
        <w:t xml:space="preserve"> </w:t>
      </w:r>
    </w:p>
    <w:p w14:paraId="21A79D54"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64B56E3"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Hitchon PW, Woodroffe RW, Noeller JA, Helland L, Hramakova N, Nourski KV. Anterior and Posterior Approaches for Cervical Myelopathy: Clinical and Radiographic Outcomes. Spine (Phila Pa 1976). 2019;44(9):615-623. doi: 10.1097/BRS.0000000000002912. PMID: 30724821.</w:t>
      </w:r>
      <w:r w:rsidRPr="00312AC9">
        <w:rPr>
          <w:rFonts w:ascii="Arial" w:eastAsia="Times New Roman" w:hAnsi="Arial" w:cs="Arial"/>
          <w:color w:val="1F1F1F"/>
          <w:kern w:val="0"/>
          <w14:ligatures w14:val="none"/>
        </w:rPr>
        <w:t xml:space="preserve"> </w:t>
      </w:r>
    </w:p>
    <w:p w14:paraId="03512539"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B0DBE9E"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Ren C, Qin R, Wang P, Wang P. Comparison of anterior and posterior approaches for treatment of traumatic cervical dislocation combined with spinal cord injury: Minimum 10-year follow-up. Sci Rep. 2020;10(1):10346. doi: 10.1038/s41598-020-67265-2. PMID: 32587305; PMCID: PMC7316727.</w:t>
      </w:r>
      <w:r w:rsidRPr="00312AC9">
        <w:rPr>
          <w:rFonts w:ascii="Arial" w:eastAsia="Times New Roman" w:hAnsi="Arial" w:cs="Arial"/>
          <w:color w:val="1F1F1F"/>
          <w:kern w:val="0"/>
          <w14:ligatures w14:val="none"/>
        </w:rPr>
        <w:t xml:space="preserve"> </w:t>
      </w:r>
    </w:p>
    <w:p w14:paraId="3956951C"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49A31841"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Savio SD, Deslivia MF, Arimbawa IBG, Suyasa IK, Wiguna IGLNAA, Ridia KGM. Thorough Comparative Analysis of Stand-Alone Cage and Anterior Cervical Plate for Anterior Cervical Discectomy and Fusion in the Treatment of Cervical Degenerative Disease: A Systematic Review and Meta-analysis. Asian Spine J. 2022;16(5):812-830. doi: 10.31616/asj.2021.0123. Epub 2022 Mar 11. PMID: 35263831; PMCID: PMC9633235.</w:t>
      </w:r>
      <w:r w:rsidRPr="00312AC9">
        <w:rPr>
          <w:rFonts w:ascii="Arial" w:eastAsia="Times New Roman" w:hAnsi="Arial" w:cs="Arial"/>
          <w:color w:val="1F1F1F"/>
          <w:kern w:val="0"/>
          <w14:ligatures w14:val="none"/>
        </w:rPr>
        <w:t xml:space="preserve"> </w:t>
      </w:r>
    </w:p>
    <w:p w14:paraId="10E66197"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713A8783"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Zhao Y, Yang S, Huo Y, Li Z, Yang D, Ding W. Locking stand-alone cage versus anterior plate construct in anterior cervical discectomy and fusion: a systematic review and meta-analysis based on randomized controlled trials. Eur Spine J. 2020;29(11):2734-2744. doi: 10.1007/s00586-020-06561-x. Epub 2020 Aug 8. PMID: 32770359.</w:t>
      </w:r>
      <w:r w:rsidRPr="00312AC9">
        <w:rPr>
          <w:rFonts w:ascii="Arial" w:eastAsia="Times New Roman" w:hAnsi="Arial" w:cs="Arial"/>
          <w:color w:val="1F1F1F"/>
          <w:kern w:val="0"/>
          <w14:ligatures w14:val="none"/>
        </w:rPr>
        <w:t xml:space="preserve"> </w:t>
      </w:r>
    </w:p>
    <w:p w14:paraId="6D6DAC7D"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237F3A03"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Scholz, 2009.</w:t>
      </w:r>
      <w:r w:rsidRPr="00312AC9">
        <w:rPr>
          <w:rFonts w:ascii="Arial" w:eastAsia="Times New Roman" w:hAnsi="Arial" w:cs="Arial"/>
          <w:color w:val="1F1F1F"/>
          <w:kern w:val="0"/>
          <w14:ligatures w14:val="none"/>
        </w:rPr>
        <w:t xml:space="preserve"> </w:t>
      </w:r>
    </w:p>
    <w:p w14:paraId="62E14FA4"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78B93C83"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Yu J, Ha Y, Shin JJ, Oh JK, Lee CK, Kim KN, et al. Influence of plate fixation on cervical height and alignment after one or two-level anterior cervical discectomy and fusion. Br J Neurosurg. 2018;32(2):188-195. doi: 10.1080/02688697.2017.1394980. Epub 2017 Oct 26. PMID: 29069938.</w:t>
      </w:r>
      <w:r w:rsidRPr="00312AC9">
        <w:rPr>
          <w:rFonts w:ascii="Arial" w:eastAsia="Times New Roman" w:hAnsi="Arial" w:cs="Arial"/>
          <w:color w:val="1F1F1F"/>
          <w:kern w:val="0"/>
          <w14:ligatures w14:val="none"/>
        </w:rPr>
        <w:t xml:space="preserve"> </w:t>
      </w:r>
    </w:p>
    <w:p w14:paraId="75536A0B"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1C181CF6"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Song KJ, Taghavi CE, Lee KB, Song JH, Eun JP. The efficacy of plate construct augmentation versus cage alone in anterior cervical fusion. Spine (Phila Pa 1976). 2009;34(26):2886-92. doi: 10.1097/BRS.0b013e3181b64f2c. PMID: 19949367.</w:t>
      </w:r>
      <w:r w:rsidRPr="00312AC9">
        <w:rPr>
          <w:rFonts w:ascii="Arial" w:eastAsia="Times New Roman" w:hAnsi="Arial" w:cs="Arial"/>
          <w:color w:val="1F1F1F"/>
          <w:kern w:val="0"/>
          <w14:ligatures w14:val="none"/>
        </w:rPr>
        <w:t xml:space="preserve"> </w:t>
      </w:r>
    </w:p>
    <w:p w14:paraId="641BD1AC"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1A479831"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Song KJ, Choi BW, Ham DH, Kim HJ. Prognosis of Hardware-Related Problems in Anterior Cervical Discectomy and Fusion with Cage and Plate Constructs. World Neurosurg. 2020;134:e249-2255. doi: 10.1016/j.wneu.2019.10.042. Epub 2019 Oct 16. PMID: 31629142.</w:t>
      </w:r>
      <w:r w:rsidRPr="00312AC9">
        <w:rPr>
          <w:rFonts w:ascii="Arial" w:eastAsia="Times New Roman" w:hAnsi="Arial" w:cs="Arial"/>
          <w:color w:val="1F1F1F"/>
          <w:kern w:val="0"/>
          <w14:ligatures w14:val="none"/>
        </w:rPr>
        <w:t xml:space="preserve"> </w:t>
      </w:r>
    </w:p>
    <w:p w14:paraId="47A64812"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127C430"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 xml:space="preserve">Odate S, Shikata J. Interbody Cage Placement Without Plate Supplementation Adjacent to Plated Segments in Multilevel Anterior Cervical Decompression and </w:t>
      </w:r>
      <w:r w:rsidRPr="00312AC9">
        <w:rPr>
          <w:rFonts w:ascii="Arial" w:eastAsia="Times New Roman" w:hAnsi="Arial" w:cs="Arial"/>
          <w:color w:val="1F1F1F"/>
          <w:kern w:val="0"/>
          <w:bdr w:val="none" w:sz="0" w:space="0" w:color="auto" w:frame="1"/>
          <w14:ligatures w14:val="none"/>
        </w:rPr>
        <w:lastRenderedPageBreak/>
        <w:t>Fusion. Spine (Phila Pa 1976). 2023;48(17):1245-1252. doi: 10.1097/BRS.0000000000004704. Epub 2023 May 5. PMID: 37146055.</w:t>
      </w:r>
      <w:r w:rsidRPr="00312AC9">
        <w:rPr>
          <w:rFonts w:ascii="Arial" w:eastAsia="Times New Roman" w:hAnsi="Arial" w:cs="Arial"/>
          <w:color w:val="1F1F1F"/>
          <w:kern w:val="0"/>
          <w14:ligatures w14:val="none"/>
        </w:rPr>
        <w:t xml:space="preserve"> </w:t>
      </w:r>
    </w:p>
    <w:p w14:paraId="7D9E439E"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B9510F7"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Sugawara T. Anterior Cervical Spine Surgery for Degenerative Disease: A Review. Neurol Med Chir (Tokyo). 2015;55(7):540-6. doi: 10.2176/nmc.ra.2014-0403. Epub 2015 Jun 29. PMID: 26119899; PMCID: PMC4628186.</w:t>
      </w:r>
      <w:r w:rsidRPr="00312AC9">
        <w:rPr>
          <w:rFonts w:ascii="Arial" w:eastAsia="Times New Roman" w:hAnsi="Arial" w:cs="Arial"/>
          <w:color w:val="1F1F1F"/>
          <w:kern w:val="0"/>
          <w14:ligatures w14:val="none"/>
        </w:rPr>
        <w:t xml:space="preserve"> </w:t>
      </w:r>
    </w:p>
    <w:p w14:paraId="60B8A447"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26831BC0"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Wang Z, Zhao H, Liu JM, Chao R, Chen TB, Tan LW, et al. Biomechanics of anterior plating failure in treating distractive flexion injury in the caudal subaxial cervical spine. Clin Biomech (Bristol). 2017;50:130-138. doi: 10.1016/j.clinbiomech.2017.10.017. Epub 2017 Oct 19. PMID: 29100186.</w:t>
      </w:r>
      <w:r w:rsidRPr="00312AC9">
        <w:rPr>
          <w:rFonts w:ascii="Arial" w:eastAsia="Times New Roman" w:hAnsi="Arial" w:cs="Arial"/>
          <w:color w:val="1F1F1F"/>
          <w:kern w:val="0"/>
          <w14:ligatures w14:val="none"/>
        </w:rPr>
        <w:t xml:space="preserve"> </w:t>
      </w:r>
    </w:p>
    <w:p w14:paraId="0ECC5411"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4FC1D64F"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Do Koh Y, Lim TH, Won You J, Eck J, An HS. A biomechanical comparison of modern anterior and posterior plate fixation of the cervical spine. Spine (Phila Pa 1976). 2001;26(1):15-21. doi: 10.1097/00007632-200101010-00005. PMID: 11148640.</w:t>
      </w:r>
      <w:r w:rsidRPr="00312AC9">
        <w:rPr>
          <w:rFonts w:ascii="Arial" w:eastAsia="Times New Roman" w:hAnsi="Arial" w:cs="Arial"/>
          <w:color w:val="1F1F1F"/>
          <w:kern w:val="0"/>
          <w14:ligatures w14:val="none"/>
        </w:rPr>
        <w:t xml:space="preserve"> </w:t>
      </w:r>
    </w:p>
    <w:p w14:paraId="5A476F23"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17F74C6"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Kwon BK, Vaccaro AR, Grauer JN, Beiner JM. The use of rigid internal fixation in the surgical management of cervical spondylosis. Neurosurgery. 2007;60(1 Suppl 1):S118-29. doi: 10.12207/01.NEU.0000249222.57709.59. PMID: 17204872.</w:t>
      </w:r>
      <w:r w:rsidRPr="00312AC9">
        <w:rPr>
          <w:rFonts w:ascii="Arial" w:eastAsia="Times New Roman" w:hAnsi="Arial" w:cs="Arial"/>
          <w:color w:val="1F1F1F"/>
          <w:kern w:val="0"/>
          <w14:ligatures w14:val="none"/>
        </w:rPr>
        <w:t xml:space="preserve"> </w:t>
      </w:r>
    </w:p>
    <w:p w14:paraId="11AF885B"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160EB5EC"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Chin KR, Ricchetti ET, Yu WD, Riew KD. Less exposure surgery for multilevel anterior cervical fusion using 2 transverse incisions. J Neurosurg Spine. 2012;17(3):194-8. doi: 10.3171/2012.5.SPINE111112. Epub 2012 Jul 6. PMID: 22769727.</w:t>
      </w:r>
      <w:r w:rsidRPr="00312AC9">
        <w:rPr>
          <w:rFonts w:ascii="Arial" w:eastAsia="Times New Roman" w:hAnsi="Arial" w:cs="Arial"/>
          <w:color w:val="1F1F1F"/>
          <w:kern w:val="0"/>
          <w14:ligatures w14:val="none"/>
        </w:rPr>
        <w:t xml:space="preserve"> </w:t>
      </w:r>
    </w:p>
    <w:p w14:paraId="4D65D9D1"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761F629"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Nassr, 2009.</w:t>
      </w:r>
      <w:r w:rsidRPr="00312AC9">
        <w:rPr>
          <w:rFonts w:ascii="Arial" w:eastAsia="Times New Roman" w:hAnsi="Arial" w:cs="Arial"/>
          <w:color w:val="1F1F1F"/>
          <w:kern w:val="0"/>
          <w14:ligatures w14:val="none"/>
        </w:rPr>
        <w:t xml:space="preserve"> </w:t>
      </w:r>
    </w:p>
    <w:p w14:paraId="642D7336"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EA9C32C"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Park, 2005.</w:t>
      </w:r>
      <w:r w:rsidRPr="00312AC9">
        <w:rPr>
          <w:rFonts w:ascii="Arial" w:eastAsia="Times New Roman" w:hAnsi="Arial" w:cs="Arial"/>
          <w:color w:val="1F1F1F"/>
          <w:kern w:val="0"/>
          <w14:ligatures w14:val="none"/>
        </w:rPr>
        <w:t xml:space="preserve"> </w:t>
      </w:r>
    </w:p>
    <w:p w14:paraId="11B13FAF"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7E4E81A"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Burkhardt J-K, Mannion AF, Marbacher S, Dolp PA, Fekete TF, Jeszenszky D, et al. A comparative effectiveness study of patient-rated and radiographic outcome after 2 types of decompression with fusion for spondylotic myelopathy: anterior cervical discectomy versus corpectomy. Neurosurg Focus. 2013;35(1):E4.</w:t>
      </w:r>
      <w:r w:rsidRPr="00312AC9">
        <w:rPr>
          <w:rFonts w:ascii="Arial" w:eastAsia="Times New Roman" w:hAnsi="Arial" w:cs="Arial"/>
          <w:color w:val="1F1F1F"/>
          <w:kern w:val="0"/>
          <w14:ligatures w14:val="none"/>
        </w:rPr>
        <w:t xml:space="preserve"> </w:t>
      </w:r>
    </w:p>
    <w:p w14:paraId="03A90AE3"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71346FD"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Srikhande NN, Kumar VAK, Sai Kiran NA, Ghosh A, Pal R, Moscote-Salazar LR, et al. Clinical presentation and outcome after anterior cervical discectomy and fusion for degenerative cervical disc disease. J Craniovertebr Junction Spine. 2019;10(1):28-32. doi: 10.4103/jcvjs.JCVJS_87_18. PMID: 31000977; PMCID: PMC6469327.</w:t>
      </w:r>
      <w:r w:rsidRPr="00312AC9">
        <w:rPr>
          <w:rFonts w:ascii="Arial" w:eastAsia="Times New Roman" w:hAnsi="Arial" w:cs="Arial"/>
          <w:color w:val="1F1F1F"/>
          <w:kern w:val="0"/>
          <w14:ligatures w14:val="none"/>
        </w:rPr>
        <w:t xml:space="preserve"> </w:t>
      </w:r>
    </w:p>
    <w:p w14:paraId="099704F2"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1A571C3"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Caroom C, Tullar JM, Benton EGJ, Jones JR, Chaput CD. Intrawound vancomycin powder reduces surgical site infections in posterior cervical fusion. Spine (Phila Pa 1976). 2013;38(14):1183-7.</w:t>
      </w:r>
      <w:r w:rsidRPr="00312AC9">
        <w:rPr>
          <w:rFonts w:ascii="Arial" w:eastAsia="Times New Roman" w:hAnsi="Arial" w:cs="Arial"/>
          <w:color w:val="1F1F1F"/>
          <w:kern w:val="0"/>
          <w14:ligatures w14:val="none"/>
        </w:rPr>
        <w:t xml:space="preserve"> </w:t>
      </w:r>
    </w:p>
    <w:p w14:paraId="430A0202"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71FBDB18"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lastRenderedPageBreak/>
        <w:t>Duchén LM, Arancibia T, Milano JB. Complicaciones postoperatorias en patología degenerativa cervical. En: Mezzadri JJ, Jalón P Editores. Cirugia de la espondiloartrosis cervical. Argentina: Ediciones Journal; 2021, p. 149-160.</w:t>
      </w:r>
      <w:r w:rsidRPr="00312AC9">
        <w:rPr>
          <w:rFonts w:ascii="Arial" w:eastAsia="Times New Roman" w:hAnsi="Arial" w:cs="Arial"/>
          <w:color w:val="1F1F1F"/>
          <w:kern w:val="0"/>
          <w14:ligatures w14:val="none"/>
        </w:rPr>
        <w:t xml:space="preserve"> </w:t>
      </w:r>
    </w:p>
    <w:p w14:paraId="66112140"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A3585EB"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Gokaslan ZL, Bydon M, De La Garza-Ramos R, Smith ZA, Hsu WK, Qureshi SA, et al. Recurrent laryngeal nerve palsy after cervical Spine surgery: A multicenter AOSpine clinical research network study. Glob Spine J. 2017;7(1_suppl):53S-57S.</w:t>
      </w:r>
      <w:r w:rsidRPr="00312AC9">
        <w:rPr>
          <w:rFonts w:ascii="Arial" w:eastAsia="Times New Roman" w:hAnsi="Arial" w:cs="Arial"/>
          <w:color w:val="1F1F1F"/>
          <w:kern w:val="0"/>
          <w14:ligatures w14:val="none"/>
        </w:rPr>
        <w:t xml:space="preserve"> </w:t>
      </w:r>
    </w:p>
    <w:p w14:paraId="325F50E7"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DAF812B"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Rihn JA, Kane J, Albert TJ, Vaccaro AR, Hilibrand AS. What is the incidence and severity of dysphagia after anterior cervical surgery? Clin Orthop Relat Res. 2011;469(3):658-65.</w:t>
      </w:r>
      <w:r w:rsidRPr="00312AC9">
        <w:rPr>
          <w:rFonts w:ascii="Arial" w:eastAsia="Times New Roman" w:hAnsi="Arial" w:cs="Arial"/>
          <w:color w:val="1F1F1F"/>
          <w:kern w:val="0"/>
          <w14:ligatures w14:val="none"/>
        </w:rPr>
        <w:t xml:space="preserve"> </w:t>
      </w:r>
    </w:p>
    <w:p w14:paraId="20FAFA88"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5769F7D1"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Lee S-H, Kim K-T, Suk K-S, Park K-J, Oh K-I. Effect of retropharyngeal steroid on prevertebral soft tissue swelling following anterior cervical discectomy and fusion: a prospective, randomized study. Spine (Phila Pa 1976). 2011;36(26):2286-92.</w:t>
      </w:r>
      <w:r w:rsidRPr="00312AC9">
        <w:rPr>
          <w:rFonts w:ascii="Arial" w:eastAsia="Times New Roman" w:hAnsi="Arial" w:cs="Arial"/>
          <w:color w:val="1F1F1F"/>
          <w:kern w:val="0"/>
          <w14:ligatures w14:val="none"/>
        </w:rPr>
        <w:t xml:space="preserve"> </w:t>
      </w:r>
    </w:p>
    <w:p w14:paraId="1754E08C"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2E37299C"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Yang L, Gu Y, Liang L, Gao R, Shi S, Shi J, et al. Stand-alone anchored spacer versus anterior plate for multilevel anterior cervical diskectomy and fusion. Orthopedics. 2012;35(10):e1503-10.</w:t>
      </w:r>
      <w:r w:rsidRPr="00312AC9">
        <w:rPr>
          <w:rFonts w:ascii="Arial" w:eastAsia="Times New Roman" w:hAnsi="Arial" w:cs="Arial"/>
          <w:color w:val="1F1F1F"/>
          <w:kern w:val="0"/>
          <w14:ligatures w14:val="none"/>
        </w:rPr>
        <w:t xml:space="preserve"> </w:t>
      </w:r>
    </w:p>
    <w:p w14:paraId="15441BD8"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70ECDC99"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Vanek P, Bradac O, Delacy P, Lacman J, Benes V. Anterior interbody fusion of the cervical spine with Zero-P spacer: prospective comparative study-clinical and radiological results at a minimum 2 years after surgery. Spine (Phila Pa 1976). 2013;38(13):E792-7.</w:t>
      </w:r>
      <w:r w:rsidRPr="00312AC9">
        <w:rPr>
          <w:rFonts w:ascii="Arial" w:eastAsia="Times New Roman" w:hAnsi="Arial" w:cs="Arial"/>
          <w:color w:val="1F1F1F"/>
          <w:kern w:val="0"/>
          <w14:ligatures w14:val="none"/>
        </w:rPr>
        <w:t xml:space="preserve"> </w:t>
      </w:r>
    </w:p>
    <w:p w14:paraId="49D7BD16"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747DD738"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Joaquim AF, Murar J, Savage JW, Patel AA. Dysphagia after anterior cervical spine surgery: A systematic review of potential preventative measures. Spine J. 2014;14(9):2246-60.</w:t>
      </w:r>
      <w:r w:rsidRPr="00312AC9">
        <w:rPr>
          <w:rFonts w:ascii="Arial" w:eastAsia="Times New Roman" w:hAnsi="Arial" w:cs="Arial"/>
          <w:color w:val="1F1F1F"/>
          <w:kern w:val="0"/>
          <w14:ligatures w14:val="none"/>
        </w:rPr>
        <w:t xml:space="preserve"> </w:t>
      </w:r>
    </w:p>
    <w:p w14:paraId="1AB68492"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670886DD"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Radcliff KE, Koyonos L, Clyde C, Sidhu GS, Fickes M, Hilibrand AS, et al. What is the incidence of dysphagia after posterior cervical surgery? Spine (Phila Pa 1976). 2013;38(13):1082-8.</w:t>
      </w:r>
      <w:r w:rsidRPr="00312AC9">
        <w:rPr>
          <w:rFonts w:ascii="Arial" w:eastAsia="Times New Roman" w:hAnsi="Arial" w:cs="Arial"/>
          <w:color w:val="1F1F1F"/>
          <w:kern w:val="0"/>
          <w14:ligatures w14:val="none"/>
        </w:rPr>
        <w:t xml:space="preserve"> </w:t>
      </w:r>
    </w:p>
    <w:p w14:paraId="4D2AC478"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7CC016EB"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Shamji MF, Massicotte EM, Traynelis VC, Norvell DC, Hermsmeyers JT, Fehlings MG. Comparison of anterior surgical options for the treatment of multilevel cervical spondylotic myelopathy: a systematic review. Spine (Phila Pa 1976). 2013;38(22 Suppl1):S195-209.</w:t>
      </w:r>
      <w:r w:rsidRPr="00312AC9">
        <w:rPr>
          <w:rFonts w:ascii="Arial" w:eastAsia="Times New Roman" w:hAnsi="Arial" w:cs="Arial"/>
          <w:color w:val="1F1F1F"/>
          <w:kern w:val="0"/>
          <w14:ligatures w14:val="none"/>
        </w:rPr>
        <w:t xml:space="preserve"> </w:t>
      </w:r>
    </w:p>
    <w:p w14:paraId="703C21B7"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4DE65C58"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Fountas KN, Kapsalaki EZ, Nikolakakos LG, Smisson HF, Johnston KW, Grigorian AA, et al. Anterior cervical discectomy and fusion associated complications. Spine (Phila Pa 1976). 2007;32(21):2310-7. doi: 10.1097/BRS.0b013e318154c57e. PMID: 17906571.</w:t>
      </w:r>
      <w:r w:rsidRPr="00312AC9">
        <w:rPr>
          <w:rFonts w:ascii="Arial" w:eastAsia="Times New Roman" w:hAnsi="Arial" w:cs="Arial"/>
          <w:color w:val="1F1F1F"/>
          <w:kern w:val="0"/>
          <w14:ligatures w14:val="none"/>
        </w:rPr>
        <w:t xml:space="preserve"> </w:t>
      </w:r>
    </w:p>
    <w:p w14:paraId="19718758"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361F99C"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lastRenderedPageBreak/>
        <w:t>Chughtai M, Sultan AA, Padilla J, Beyer GA, Newman JM, Davidson IU, et al. Postoperative stroke after anterior cervical discectomy and fusion in patients with carotid artery stenosis: a statewide database analysis. Spine J. 2019;19(4):597-601. doi: 10.1016/j.spinee.2018.09.011. Epub 2018 Sep 21. PMID: 30244036.</w:t>
      </w:r>
      <w:r w:rsidRPr="00312AC9">
        <w:rPr>
          <w:rFonts w:ascii="Arial" w:eastAsia="Times New Roman" w:hAnsi="Arial" w:cs="Arial"/>
          <w:color w:val="1F1F1F"/>
          <w:kern w:val="0"/>
          <w14:ligatures w14:val="none"/>
        </w:rPr>
        <w:t xml:space="preserve"> </w:t>
      </w:r>
    </w:p>
    <w:p w14:paraId="50B1A9D1"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4ACC9017"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Li J, Gan K, Chen B, Chen Y, Hong J, Bei D, et al. Anterior cervical transpedicular screw fixation system in subaxial cervical spine: A finite element comparative study. Medicine (Baltimore). 2022;101(29):e29316. doi: 10.1097/MD.0000000000029316. PMID: 35866798; PMCID: PMC9302373.</w:t>
      </w:r>
      <w:r w:rsidRPr="00312AC9">
        <w:rPr>
          <w:rFonts w:ascii="Arial" w:eastAsia="Times New Roman" w:hAnsi="Arial" w:cs="Arial"/>
          <w:color w:val="1F1F1F"/>
          <w:kern w:val="0"/>
          <w14:ligatures w14:val="none"/>
        </w:rPr>
        <w:t xml:space="preserve"> </w:t>
      </w:r>
    </w:p>
    <w:p w14:paraId="24C0A20A"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D1531C0"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Zheng M, Ji W, Zou L, Huang Z, Zhu Q, Qu D. Anterior Transdiscal Axial Screw Fixation for Subaxial Cervical Spine: A Biomechanical Study. World Neurosurg. 2018;110:e459-e464. doi: 10.1016/j.wneu.2017.11.008. Epub 2017 Nov 10. PMID: 29133006.</w:t>
      </w:r>
      <w:r w:rsidRPr="00312AC9">
        <w:rPr>
          <w:rFonts w:ascii="Arial" w:eastAsia="Times New Roman" w:hAnsi="Arial" w:cs="Arial"/>
          <w:color w:val="1F1F1F"/>
          <w:kern w:val="0"/>
          <w14:ligatures w14:val="none"/>
        </w:rPr>
        <w:t xml:space="preserve"> </w:t>
      </w:r>
    </w:p>
    <w:p w14:paraId="01225D9C"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1E6DC865"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Ji W, Zheng M, Qu D, Zou L, Chen Y, Chen J, et al. Anatomic Study of Anterior Transdiscal Axial Screw Fixation for Subaxial Cervical Spine Injuries. Medicine (Baltimore). 2016;95(31):e3723. doi: 10.1097/MD.0000000000003723. PMID: 27495016; PMCID: PMC4979770.</w:t>
      </w:r>
      <w:r w:rsidRPr="00312AC9">
        <w:rPr>
          <w:rFonts w:ascii="Arial" w:eastAsia="Times New Roman" w:hAnsi="Arial" w:cs="Arial"/>
          <w:color w:val="1F1F1F"/>
          <w:kern w:val="0"/>
          <w14:ligatures w14:val="none"/>
        </w:rPr>
        <w:t xml:space="preserve"> </w:t>
      </w:r>
    </w:p>
    <w:p w14:paraId="74AD904C"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4185B57F"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Kanna RM, Shetty AP, Rajasekaran S. Modified anterior-only reduction and fixation for traumatic cervical facet dislocation (AO type C injuries). Eur Spine J. 2018;27(6):1447-1453. doi: 10.1007/s00586-017-5430-y. Epub 2017 Dec 26. PMID: 29279998.</w:t>
      </w:r>
      <w:r w:rsidRPr="00312AC9">
        <w:rPr>
          <w:rFonts w:ascii="Arial" w:eastAsia="Times New Roman" w:hAnsi="Arial" w:cs="Arial"/>
          <w:color w:val="1F1F1F"/>
          <w:kern w:val="0"/>
          <w14:ligatures w14:val="none"/>
        </w:rPr>
        <w:t xml:space="preserve"> </w:t>
      </w:r>
    </w:p>
    <w:p w14:paraId="4190B15D"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66F109A9" w14:textId="77777777" w:rsidR="00312AC9" w:rsidRPr="00312AC9" w:rsidRDefault="00312AC9" w:rsidP="00312AC9">
      <w:pPr>
        <w:numPr>
          <w:ilvl w:val="0"/>
          <w:numId w:val="6"/>
        </w:num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bdr w:val="none" w:sz="0" w:space="0" w:color="auto" w:frame="1"/>
          <w14:ligatures w14:val="none"/>
        </w:rPr>
        <w:t>Liu K, Zhang Z. A Novel Anterior-Only Surgical Approach for Reduction and Fixation of Cervical Facet Dislocation. World Neurosurg. 2019;128:e362-e369. doi: 10.1016/j.wneu.2019.04.153. Epub 2019 Apr 25. PMID: 31029820.</w:t>
      </w:r>
      <w:r w:rsidRPr="00312AC9">
        <w:rPr>
          <w:rFonts w:ascii="Arial" w:eastAsia="Times New Roman" w:hAnsi="Arial" w:cs="Arial"/>
          <w:color w:val="1F1F1F"/>
          <w:kern w:val="0"/>
          <w14:ligatures w14:val="none"/>
        </w:rPr>
        <w:t xml:space="preserve"> </w:t>
      </w:r>
    </w:p>
    <w:p w14:paraId="480C802C"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4546D759"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Metadados para o site</w:t>
      </w:r>
    </w:p>
    <w:p w14:paraId="49C04314" w14:textId="77777777" w:rsidR="00312AC9" w:rsidRPr="00312AC9" w:rsidRDefault="00312AC9" w:rsidP="00312AC9">
      <w:pPr>
        <w:spacing w:after="0" w:line="240" w:lineRule="auto"/>
        <w:rPr>
          <w:rFonts w:ascii="Arial" w:eastAsia="Times New Roman" w:hAnsi="Arial" w:cs="Arial"/>
          <w:color w:val="1F1F1F"/>
          <w:kern w:val="0"/>
          <w14:ligatures w14:val="none"/>
        </w:rPr>
      </w:pPr>
      <w:r w:rsidRPr="00312AC9">
        <w:rPr>
          <w:rFonts w:ascii="Arial" w:eastAsia="Times New Roman" w:hAnsi="Arial" w:cs="Arial"/>
          <w:color w:val="1F1F1F"/>
          <w:kern w:val="0"/>
          <w14:ligatures w14:val="none"/>
        </w:rPr>
        <w:br/>
      </w:r>
    </w:p>
    <w:p w14:paraId="6FDA369F" w14:textId="77777777" w:rsidR="00312AC9" w:rsidRPr="00312AC9" w:rsidRDefault="00312AC9" w:rsidP="00312AC9">
      <w:pPr>
        <w:numPr>
          <w:ilvl w:val="0"/>
          <w:numId w:val="8"/>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Título SEO:</w:t>
      </w:r>
      <w:r w:rsidRPr="00312AC9">
        <w:rPr>
          <w:rFonts w:ascii="Arial" w:eastAsia="Times New Roman" w:hAnsi="Arial" w:cs="Arial"/>
          <w:color w:val="1F1F1F"/>
          <w:kern w:val="0"/>
          <w:bdr w:val="none" w:sz="0" w:space="0" w:color="auto" w:frame="1"/>
          <w14:ligatures w14:val="none"/>
        </w:rPr>
        <w:t xml:space="preserve"> Técnicas de Fixação Cervical Anterior | Capítulo 75</w:t>
      </w:r>
      <w:r w:rsidRPr="00312AC9">
        <w:rPr>
          <w:rFonts w:ascii="Arial" w:eastAsia="Times New Roman" w:hAnsi="Arial" w:cs="Arial"/>
          <w:color w:val="1F1F1F"/>
          <w:kern w:val="0"/>
          <w14:ligatures w14:val="none"/>
        </w:rPr>
        <w:t xml:space="preserve"> </w:t>
      </w:r>
    </w:p>
    <w:p w14:paraId="216E623B"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22BB3DA3" w14:textId="77777777" w:rsidR="00312AC9" w:rsidRPr="00312AC9" w:rsidRDefault="00312AC9" w:rsidP="00312AC9">
      <w:pPr>
        <w:numPr>
          <w:ilvl w:val="0"/>
          <w:numId w:val="8"/>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Meta descrição:</w:t>
      </w:r>
      <w:r w:rsidRPr="00312AC9">
        <w:rPr>
          <w:rFonts w:ascii="Arial" w:eastAsia="Times New Roman" w:hAnsi="Arial" w:cs="Arial"/>
          <w:color w:val="1F1F1F"/>
          <w:kern w:val="0"/>
          <w:bdr w:val="none" w:sz="0" w:space="0" w:color="auto" w:frame="1"/>
          <w14:ligatures w14:val="none"/>
        </w:rPr>
        <w:t xml:space="preserve"> Guia completo sobre técnicas de fixação cervical anterior, indicações, uso de placas e cages stand-alone, passo a passo e prevenção de complicações.</w:t>
      </w:r>
      <w:r w:rsidRPr="00312AC9">
        <w:rPr>
          <w:rFonts w:ascii="Arial" w:eastAsia="Times New Roman" w:hAnsi="Arial" w:cs="Arial"/>
          <w:color w:val="1F1F1F"/>
          <w:kern w:val="0"/>
          <w14:ligatures w14:val="none"/>
        </w:rPr>
        <w:t xml:space="preserve"> </w:t>
      </w:r>
    </w:p>
    <w:p w14:paraId="043865A5"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02A00CBD" w14:textId="77777777" w:rsidR="00312AC9" w:rsidRPr="00312AC9" w:rsidRDefault="00312AC9" w:rsidP="00312AC9">
      <w:pPr>
        <w:numPr>
          <w:ilvl w:val="0"/>
          <w:numId w:val="8"/>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Resumo de chamada:</w:t>
      </w:r>
      <w:r w:rsidRPr="00312AC9">
        <w:rPr>
          <w:rFonts w:ascii="Arial" w:eastAsia="Times New Roman" w:hAnsi="Arial" w:cs="Arial"/>
          <w:color w:val="1F1F1F"/>
          <w:kern w:val="0"/>
          <w:bdr w:val="none" w:sz="0" w:space="0" w:color="auto" w:frame="1"/>
          <w14:ligatures w14:val="none"/>
        </w:rPr>
        <w:t xml:space="preserve"> Análise detalhada das técnicas de fixação cervical anterior subaxial, abordando a escolha entre placas e cages isolados, passos cirúrgicos, prevenção de complicações e novas perspectivas biomecânicas.</w:t>
      </w:r>
      <w:r w:rsidRPr="00312AC9">
        <w:rPr>
          <w:rFonts w:ascii="Arial" w:eastAsia="Times New Roman" w:hAnsi="Arial" w:cs="Arial"/>
          <w:color w:val="1F1F1F"/>
          <w:kern w:val="0"/>
          <w14:ligatures w14:val="none"/>
        </w:rPr>
        <w:t xml:space="preserve"> </w:t>
      </w:r>
    </w:p>
    <w:p w14:paraId="51155F10" w14:textId="77777777" w:rsidR="00312AC9" w:rsidRPr="00312AC9" w:rsidRDefault="00312AC9" w:rsidP="00312AC9">
      <w:pPr>
        <w:spacing w:after="0" w:line="240" w:lineRule="auto"/>
        <w:ind w:left="720"/>
        <w:rPr>
          <w:rFonts w:ascii="Arial" w:eastAsia="Times New Roman" w:hAnsi="Arial" w:cs="Arial"/>
          <w:color w:val="1F1F1F"/>
          <w:kern w:val="0"/>
          <w14:ligatures w14:val="none"/>
        </w:rPr>
      </w:pPr>
    </w:p>
    <w:p w14:paraId="3BECCFB1" w14:textId="77777777" w:rsidR="00312AC9" w:rsidRPr="00312AC9" w:rsidRDefault="00312AC9" w:rsidP="00312AC9">
      <w:pPr>
        <w:numPr>
          <w:ilvl w:val="0"/>
          <w:numId w:val="8"/>
        </w:numPr>
        <w:spacing w:after="0" w:line="240" w:lineRule="auto"/>
        <w:rPr>
          <w:rFonts w:ascii="Arial" w:eastAsia="Times New Roman" w:hAnsi="Arial" w:cs="Arial"/>
          <w:color w:val="1F1F1F"/>
          <w:kern w:val="0"/>
          <w14:ligatures w14:val="none"/>
        </w:rPr>
      </w:pPr>
      <w:r w:rsidRPr="00312AC9">
        <w:rPr>
          <w:rFonts w:ascii="Arial" w:eastAsia="Times New Roman" w:hAnsi="Arial" w:cs="Arial"/>
          <w:b/>
          <w:bCs/>
          <w:color w:val="1F1F1F"/>
          <w:kern w:val="0"/>
          <w:bdr w:val="none" w:sz="0" w:space="0" w:color="auto" w:frame="1"/>
          <w14:ligatures w14:val="none"/>
        </w:rPr>
        <w:t>Sugestão de slug:</w:t>
      </w:r>
      <w:r w:rsidRPr="00312AC9">
        <w:rPr>
          <w:rFonts w:ascii="Arial" w:eastAsia="Times New Roman" w:hAnsi="Arial" w:cs="Arial"/>
          <w:color w:val="1F1F1F"/>
          <w:kern w:val="0"/>
          <w14:ligatures w14:val="none"/>
        </w:rPr>
        <w:t xml:space="preserve"> </w:t>
      </w:r>
      <w:r w:rsidRPr="00312AC9">
        <w:rPr>
          <w:rFonts w:ascii="Arial" w:eastAsia="Times New Roman" w:hAnsi="Arial" w:cs="Arial"/>
          <w:color w:val="1F1F1F"/>
          <w:kern w:val="0"/>
          <w:sz w:val="23"/>
          <w:szCs w:val="23"/>
          <w14:ligatures w14:val="none"/>
        </w:rPr>
        <w:t>tecnicas-fixacao-cervical-anterior</w:t>
      </w:r>
    </w:p>
    <w:p w14:paraId="20AD6725" w14:textId="77777777" w:rsidR="00312AC9" w:rsidRDefault="00312AC9"/>
    <w:sectPr w:rsidR="00312A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21DF0"/>
    <w:multiLevelType w:val="multilevel"/>
    <w:tmpl w:val="82D2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005E5"/>
    <w:multiLevelType w:val="multilevel"/>
    <w:tmpl w:val="C48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24F19"/>
    <w:multiLevelType w:val="multilevel"/>
    <w:tmpl w:val="574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46EEE"/>
    <w:multiLevelType w:val="multilevel"/>
    <w:tmpl w:val="FE8C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C4B90"/>
    <w:multiLevelType w:val="multilevel"/>
    <w:tmpl w:val="3AD093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60BE3"/>
    <w:multiLevelType w:val="multilevel"/>
    <w:tmpl w:val="63D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030B4"/>
    <w:multiLevelType w:val="multilevel"/>
    <w:tmpl w:val="647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F5B23"/>
    <w:multiLevelType w:val="multilevel"/>
    <w:tmpl w:val="2FDA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79558">
    <w:abstractNumId w:val="5"/>
  </w:num>
  <w:num w:numId="2" w16cid:durableId="1499885565">
    <w:abstractNumId w:val="3"/>
  </w:num>
  <w:num w:numId="3" w16cid:durableId="363212802">
    <w:abstractNumId w:val="2"/>
  </w:num>
  <w:num w:numId="4" w16cid:durableId="783616202">
    <w:abstractNumId w:val="6"/>
  </w:num>
  <w:num w:numId="5" w16cid:durableId="2103641291">
    <w:abstractNumId w:val="7"/>
  </w:num>
  <w:num w:numId="6" w16cid:durableId="1081834172">
    <w:abstractNumId w:val="0"/>
  </w:num>
  <w:num w:numId="7" w16cid:durableId="1678925480">
    <w:abstractNumId w:val="4"/>
  </w:num>
  <w:num w:numId="8" w16cid:durableId="14872119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C9"/>
    <w:rsid w:val="00312AC9"/>
    <w:rsid w:val="006F6E99"/>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3A36F243"/>
  <w15:chartTrackingRefBased/>
  <w15:docId w15:val="{ED60668F-8DDE-A44D-8BE5-FCBF764C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AC9"/>
    <w:rPr>
      <w:rFonts w:eastAsiaTheme="majorEastAsia" w:cstheme="majorBidi"/>
      <w:color w:val="272727" w:themeColor="text1" w:themeTint="D8"/>
    </w:rPr>
  </w:style>
  <w:style w:type="paragraph" w:styleId="Title">
    <w:name w:val="Title"/>
    <w:basedOn w:val="Normal"/>
    <w:next w:val="Normal"/>
    <w:link w:val="TitleChar"/>
    <w:uiPriority w:val="10"/>
    <w:qFormat/>
    <w:rsid w:val="00312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AC9"/>
    <w:pPr>
      <w:spacing w:before="160"/>
      <w:jc w:val="center"/>
    </w:pPr>
    <w:rPr>
      <w:i/>
      <w:iCs/>
      <w:color w:val="404040" w:themeColor="text1" w:themeTint="BF"/>
    </w:rPr>
  </w:style>
  <w:style w:type="character" w:customStyle="1" w:styleId="QuoteChar">
    <w:name w:val="Quote Char"/>
    <w:basedOn w:val="DefaultParagraphFont"/>
    <w:link w:val="Quote"/>
    <w:uiPriority w:val="29"/>
    <w:rsid w:val="00312AC9"/>
    <w:rPr>
      <w:i/>
      <w:iCs/>
      <w:color w:val="404040" w:themeColor="text1" w:themeTint="BF"/>
    </w:rPr>
  </w:style>
  <w:style w:type="paragraph" w:styleId="ListParagraph">
    <w:name w:val="List Paragraph"/>
    <w:basedOn w:val="Normal"/>
    <w:uiPriority w:val="34"/>
    <w:qFormat/>
    <w:rsid w:val="00312AC9"/>
    <w:pPr>
      <w:ind w:left="720"/>
      <w:contextualSpacing/>
    </w:pPr>
  </w:style>
  <w:style w:type="character" w:styleId="IntenseEmphasis">
    <w:name w:val="Intense Emphasis"/>
    <w:basedOn w:val="DefaultParagraphFont"/>
    <w:uiPriority w:val="21"/>
    <w:qFormat/>
    <w:rsid w:val="00312AC9"/>
    <w:rPr>
      <w:i/>
      <w:iCs/>
      <w:color w:val="0F4761" w:themeColor="accent1" w:themeShade="BF"/>
    </w:rPr>
  </w:style>
  <w:style w:type="paragraph" w:styleId="IntenseQuote">
    <w:name w:val="Intense Quote"/>
    <w:basedOn w:val="Normal"/>
    <w:next w:val="Normal"/>
    <w:link w:val="IntenseQuoteChar"/>
    <w:uiPriority w:val="30"/>
    <w:qFormat/>
    <w:rsid w:val="00312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AC9"/>
    <w:rPr>
      <w:i/>
      <w:iCs/>
      <w:color w:val="0F4761" w:themeColor="accent1" w:themeShade="BF"/>
    </w:rPr>
  </w:style>
  <w:style w:type="character" w:styleId="IntenseReference">
    <w:name w:val="Intense Reference"/>
    <w:basedOn w:val="DefaultParagraphFont"/>
    <w:uiPriority w:val="32"/>
    <w:qFormat/>
    <w:rsid w:val="00312AC9"/>
    <w:rPr>
      <w:b/>
      <w:bCs/>
      <w:smallCaps/>
      <w:color w:val="0F4761" w:themeColor="accent1" w:themeShade="BF"/>
      <w:spacing w:val="5"/>
    </w:rPr>
  </w:style>
  <w:style w:type="character" w:styleId="HTMLCode">
    <w:name w:val="HTML Code"/>
    <w:basedOn w:val="DefaultParagraphFont"/>
    <w:uiPriority w:val="99"/>
    <w:semiHidden/>
    <w:unhideWhenUsed/>
    <w:rsid w:val="00312A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2791</Words>
  <Characters>17222</Characters>
  <Application>Microsoft Office Word</Application>
  <DocSecurity>0</DocSecurity>
  <Lines>420</Lines>
  <Paragraphs>113</Paragraphs>
  <ScaleCrop>false</ScaleCrop>
  <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2026-08-19T17:08:00Z</dcterms:created>
  <dcterms:modified xsi:type="dcterms:W3CDTF">2026-08-19T17:11:00Z</dcterms:modified>
</cp:coreProperties>
</file>