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C0BC7" w14:textId="77777777" w:rsidR="00D040EA" w:rsidRDefault="00D040EA" w:rsidP="00D040EA">
      <w:pPr>
        <w:pStyle w:val="NormalWeb"/>
        <w:spacing w:before="0" w:beforeAutospacing="0"/>
        <w:rPr>
          <w:rFonts w:ascii="Arial" w:hAnsi="Arial" w:cs="Arial"/>
        </w:rPr>
      </w:pPr>
      <w:r>
        <w:rPr>
          <w:rFonts w:ascii="Arial" w:hAnsi="Arial" w:cs="Arial"/>
        </w:rPr>
        <w:t xml:space="preserve">Capítulo 85 </w:t>
      </w:r>
    </w:p>
    <w:p w14:paraId="39841529" w14:textId="62984AD7" w:rsidR="00D040EA" w:rsidRDefault="00D040EA" w:rsidP="00D040EA">
      <w:pPr>
        <w:pStyle w:val="NormalWeb"/>
        <w:spacing w:before="0" w:beforeAutospacing="0"/>
        <w:rPr>
          <w:rFonts w:ascii="Arial" w:hAnsi="Arial" w:cs="Arial"/>
        </w:rPr>
      </w:pPr>
      <w:r>
        <w:rPr>
          <w:rFonts w:ascii="Arial" w:hAnsi="Arial" w:cs="Arial"/>
          <w:b/>
          <w:bCs/>
        </w:rPr>
        <w:t>Identificação</w:t>
      </w:r>
    </w:p>
    <w:p w14:paraId="1B2CA0C9" w14:textId="77777777" w:rsidR="00D040EA" w:rsidRDefault="00D040EA" w:rsidP="00D040EA">
      <w:pPr>
        <w:pStyle w:val="NormalWeb"/>
        <w:numPr>
          <w:ilvl w:val="0"/>
          <w:numId w:val="9"/>
        </w:numPr>
        <w:spacing w:before="0" w:beforeAutospacing="0"/>
        <w:rPr>
          <w:rFonts w:ascii="Arial" w:hAnsi="Arial" w:cs="Arial"/>
        </w:rPr>
      </w:pPr>
      <w:r>
        <w:rPr>
          <w:rFonts w:ascii="Arial" w:hAnsi="Arial" w:cs="Arial"/>
          <w:b/>
          <w:bCs/>
        </w:rPr>
        <w:t>Número do capítulo:</w:t>
      </w:r>
      <w:r>
        <w:rPr>
          <w:rFonts w:ascii="Arial" w:hAnsi="Arial" w:cs="Arial"/>
        </w:rPr>
        <w:t xml:space="preserve"> Capítulo 85 </w:t>
      </w:r>
    </w:p>
    <w:p w14:paraId="1A20FF29" w14:textId="77777777" w:rsidR="00D040EA" w:rsidRDefault="00D040EA" w:rsidP="00D040EA">
      <w:pPr>
        <w:pStyle w:val="NormalWeb"/>
        <w:numPr>
          <w:ilvl w:val="0"/>
          <w:numId w:val="9"/>
        </w:numPr>
        <w:spacing w:before="0" w:beforeAutospacing="0"/>
        <w:rPr>
          <w:rFonts w:ascii="Arial" w:hAnsi="Arial" w:cs="Arial"/>
        </w:rPr>
      </w:pPr>
      <w:r>
        <w:rPr>
          <w:rFonts w:ascii="Arial" w:hAnsi="Arial" w:cs="Arial"/>
          <w:b/>
          <w:bCs/>
        </w:rPr>
        <w:t>Título completo:</w:t>
      </w:r>
      <w:r>
        <w:rPr>
          <w:rFonts w:ascii="Arial" w:hAnsi="Arial" w:cs="Arial"/>
        </w:rPr>
        <w:t xml:space="preserve"> Sistemas de Crescimento Guiado para Deformidades da Coluna: Hastes de Crescimento Tradicionais </w:t>
      </w:r>
    </w:p>
    <w:p w14:paraId="7EE98DF3" w14:textId="7046491C" w:rsidR="00D040EA" w:rsidRDefault="00D040EA" w:rsidP="00D040EA">
      <w:pPr>
        <w:pStyle w:val="NormalWeb"/>
        <w:numPr>
          <w:ilvl w:val="0"/>
          <w:numId w:val="9"/>
        </w:numPr>
        <w:spacing w:before="0" w:beforeAutospacing="0"/>
        <w:rPr>
          <w:rFonts w:ascii="Arial" w:hAnsi="Arial" w:cs="Arial"/>
        </w:rPr>
      </w:pPr>
      <w:r>
        <w:rPr>
          <w:rFonts w:ascii="Arial" w:hAnsi="Arial" w:cs="Arial"/>
          <w:b/>
          <w:bCs/>
        </w:rPr>
        <w:t>Seção do Tratado:</w:t>
      </w:r>
      <w:r>
        <w:rPr>
          <w:rFonts w:ascii="Arial" w:hAnsi="Arial" w:cs="Arial"/>
        </w:rPr>
        <w:t xml:space="preserve"> </w:t>
      </w:r>
      <w:r>
        <w:rPr>
          <w:rFonts w:ascii="Arial" w:hAnsi="Arial" w:cs="Arial"/>
        </w:rPr>
        <w:t>8</w:t>
      </w:r>
      <w:r>
        <w:rPr>
          <w:rFonts w:ascii="Arial" w:hAnsi="Arial" w:cs="Arial"/>
        </w:rPr>
        <w:t xml:space="preserve"> </w:t>
      </w:r>
    </w:p>
    <w:p w14:paraId="60F79D1C" w14:textId="77777777" w:rsidR="00D040EA" w:rsidRDefault="00D040EA" w:rsidP="00D040EA">
      <w:pPr>
        <w:pStyle w:val="NormalWeb"/>
        <w:numPr>
          <w:ilvl w:val="0"/>
          <w:numId w:val="9"/>
        </w:numPr>
        <w:spacing w:before="0" w:beforeAutospacing="0"/>
        <w:rPr>
          <w:rFonts w:ascii="Arial" w:hAnsi="Arial" w:cs="Arial"/>
        </w:rPr>
      </w:pPr>
      <w:r>
        <w:rPr>
          <w:rFonts w:ascii="Arial" w:hAnsi="Arial" w:cs="Arial"/>
          <w:b/>
          <w:bCs/>
        </w:rPr>
        <w:t>Autor ou autores:</w:t>
      </w:r>
      <w:r>
        <w:rPr>
          <w:rFonts w:ascii="Arial" w:hAnsi="Arial" w:cs="Arial"/>
        </w:rPr>
        <w:t xml:space="preserve"> Bruno Pinto Coelho Fontes, João Vitor Liboni Guimarães Rios </w:t>
      </w:r>
    </w:p>
    <w:p w14:paraId="16532280" w14:textId="77777777" w:rsidR="00D040EA" w:rsidRDefault="00D040EA" w:rsidP="00D040EA">
      <w:pPr>
        <w:pStyle w:val="NormalWeb"/>
        <w:spacing w:before="0" w:beforeAutospacing="0"/>
        <w:rPr>
          <w:rFonts w:ascii="Arial" w:hAnsi="Arial" w:cs="Arial"/>
        </w:rPr>
      </w:pPr>
      <w:r>
        <w:rPr>
          <w:rFonts w:ascii="Arial" w:hAnsi="Arial" w:cs="Arial"/>
          <w:b/>
          <w:bCs/>
        </w:rPr>
        <w:t>Contexto</w:t>
      </w:r>
    </w:p>
    <w:p w14:paraId="0E5F4E7D" w14:textId="77777777" w:rsidR="00D040EA" w:rsidRDefault="00D040EA" w:rsidP="00D040EA">
      <w:pPr>
        <w:pStyle w:val="NormalWeb"/>
        <w:spacing w:before="0" w:beforeAutospacing="0"/>
        <w:rPr>
          <w:rFonts w:ascii="Arial" w:hAnsi="Arial" w:cs="Arial"/>
        </w:rPr>
      </w:pPr>
      <w:r>
        <w:rPr>
          <w:rFonts w:ascii="Arial" w:hAnsi="Arial" w:cs="Arial"/>
        </w:rPr>
        <w:t xml:space="preserve">A escoliose de início precoce (EIP) representa um grave desafio terapêutico na cirurgia da coluna, exigindo o controle da progressão da deformidade sem comprometer o crescimento espinhal e o desenvolvimento pulmonar em crianças em fase de crescimento. O surgimento das técnicas de crescimento guiado, em especial as hastes de crescimento tradicionais (TGR), revolucionou esse cenário ao permitir o adiamento ou a prevenção da fusão vertebral definitiva, assegurando o ganho axial do tronco. Contudo, a condução desses casos envolve obstáculos complexos, como a alta taxa de complicações mecânicas e biológicas a longo prazo, a necessidade de procedimentos cirúrgicos repetitivos de distração e o risco de fusão espontânea indesejada. Além disso, o cirurgião enfrenta o desafio de selecionar a configuração ideal dos implantes e o momento correto para intervir, equilibrando a correção angular com a preservação anatômica. O domínio do planejamento pré-operatório, da técnica operatória e da condução até a maturidade esquelética é fundamental para reduzir falhas e otimizar os resultados funcionais. </w:t>
      </w:r>
    </w:p>
    <w:p w14:paraId="7952B78C" w14:textId="77777777" w:rsidR="00D040EA" w:rsidRDefault="00D040EA" w:rsidP="00D040EA">
      <w:pPr>
        <w:pStyle w:val="NormalWeb"/>
        <w:spacing w:before="0" w:beforeAutospacing="0"/>
        <w:rPr>
          <w:rFonts w:ascii="Arial" w:hAnsi="Arial" w:cs="Arial"/>
        </w:rPr>
      </w:pPr>
      <w:r>
        <w:rPr>
          <w:rFonts w:ascii="Arial" w:hAnsi="Arial" w:cs="Arial"/>
          <w:b/>
          <w:bCs/>
        </w:rPr>
        <w:t>Objetivo do capítulo</w:t>
      </w:r>
    </w:p>
    <w:p w14:paraId="75586127" w14:textId="77777777" w:rsidR="00D040EA" w:rsidRDefault="00D040EA" w:rsidP="00D040EA">
      <w:pPr>
        <w:pStyle w:val="NormalWeb"/>
        <w:spacing w:before="0" w:beforeAutospacing="0"/>
        <w:rPr>
          <w:rFonts w:ascii="Arial" w:hAnsi="Arial" w:cs="Arial"/>
        </w:rPr>
      </w:pPr>
      <w:r>
        <w:rPr>
          <w:rFonts w:ascii="Arial" w:hAnsi="Arial" w:cs="Arial"/>
        </w:rPr>
        <w:t xml:space="preserve">Este capítulo capacita o leitor a compreender e aplicar a técnica de hastes de crescimento tradicionais no tratamento da escoliose de início precoce. Ao final da leitura, o profissional estará apto a indicar e contraindicar o procedimento, realizar um planejamento pré-operatório detalhado — incluindo a avaliação por imagem e o preparo com tração —, executar os passos cirúrgicos com preservação anatômica e manejar as complicações mais frequentes, além de tomar decisões embasadas ao atingir a maturidade esquelética. </w:t>
      </w:r>
    </w:p>
    <w:p w14:paraId="5A941991" w14:textId="77777777" w:rsidR="00D040EA" w:rsidRDefault="00D040EA" w:rsidP="00D040EA">
      <w:pPr>
        <w:pStyle w:val="NormalWeb"/>
        <w:spacing w:before="0" w:beforeAutospacing="0"/>
        <w:rPr>
          <w:rFonts w:ascii="Arial" w:hAnsi="Arial" w:cs="Arial"/>
        </w:rPr>
      </w:pPr>
      <w:r>
        <w:rPr>
          <w:rFonts w:ascii="Arial" w:hAnsi="Arial" w:cs="Arial"/>
          <w:b/>
          <w:bCs/>
        </w:rPr>
        <w:t>Conteúdo principal</w:t>
      </w:r>
    </w:p>
    <w:p w14:paraId="7EA5A803" w14:textId="77777777" w:rsidR="00D040EA" w:rsidRDefault="00D040EA" w:rsidP="00D040EA">
      <w:pPr>
        <w:pStyle w:val="NormalWeb"/>
        <w:spacing w:before="0" w:beforeAutospacing="0"/>
        <w:rPr>
          <w:rFonts w:ascii="Arial" w:hAnsi="Arial" w:cs="Arial"/>
        </w:rPr>
      </w:pPr>
      <w:r>
        <w:rPr>
          <w:rFonts w:ascii="Arial" w:hAnsi="Arial" w:cs="Arial"/>
          <w:b/>
          <w:bCs/>
        </w:rPr>
        <w:t>Indicações e Contraindicações</w:t>
      </w:r>
      <w:r>
        <w:rPr>
          <w:rFonts w:ascii="Arial" w:hAnsi="Arial" w:cs="Arial"/>
        </w:rPr>
        <w:t xml:space="preserve"> As hastes de crescimento tradicionais (TGR) são indicadas para escolioses progressivas diagnosticadas antes dos 10 anos de idade que apresentem falha do tratamento conservador com colete, gesso seriado ou tração. Abrangem etiologias neuromusculares, congênitas, sindrômicas e idiopáticas, além de pacientes com paralisia cerebral, distrofia muscular ou atrofia muscular espinhal, visando à estabilização da coluna e à manutenção da capacidade funcional. As contraindicações absolutas incluem infecção ativa e instabilidade clínica severa. Já as contraindicações relativas envolvem deformidades extremamente rígidas sem capacidade de correção </w:t>
      </w:r>
      <w:r>
        <w:rPr>
          <w:rFonts w:ascii="Arial" w:hAnsi="Arial" w:cs="Arial"/>
        </w:rPr>
        <w:lastRenderedPageBreak/>
        <w:t xml:space="preserve">gradual, hipercifose grave e comprometimento pulmonar severo, observando-se que a tração halogravitacional prévia com suporte ventilatório não invasivo pode auxiliar na reavaliação de casos respiratórios graves. </w:t>
      </w:r>
    </w:p>
    <w:p w14:paraId="342B8136" w14:textId="77777777" w:rsidR="00D040EA" w:rsidRDefault="00D040EA" w:rsidP="00D040EA">
      <w:pPr>
        <w:pStyle w:val="NormalWeb"/>
        <w:spacing w:before="0" w:beforeAutospacing="0"/>
        <w:rPr>
          <w:rFonts w:ascii="Arial" w:hAnsi="Arial" w:cs="Arial"/>
        </w:rPr>
      </w:pPr>
      <w:r>
        <w:rPr>
          <w:rFonts w:ascii="Arial" w:hAnsi="Arial" w:cs="Arial"/>
          <w:b/>
          <w:bCs/>
        </w:rPr>
        <w:t>Avaliação e Planejamento Pré-Operatório</w:t>
      </w:r>
      <w:r>
        <w:rPr>
          <w:rFonts w:ascii="Arial" w:hAnsi="Arial" w:cs="Arial"/>
        </w:rPr>
        <w:t xml:space="preserve"> O planejamento exige radiografias panorâmicas em AP e perfil (em ortostase ou sentado) e em decúbito dorsal sob tração para mensurar a flexibilidade da curva. A tomografia computadorizada é indicada em displasias de pelve ou para planejamento da anatomia óssea nos locais de ancoragem. A ressonância magnética de todo o neuroeixo é obrigatória para afastar causas secundárias. A avaliação pulmonar e cardiológica deve ser realizada, destacando-se o papel da tração halogravitacional pré-operatória em curvas maiores que 90°, a qual reduz a angulação de Cobb e melhora a função respiratória. </w:t>
      </w:r>
    </w:p>
    <w:p w14:paraId="0408D3DB" w14:textId="77777777" w:rsidR="00D040EA" w:rsidRDefault="00D040EA" w:rsidP="00D040EA">
      <w:pPr>
        <w:pStyle w:val="NormalWeb"/>
        <w:spacing w:before="0" w:beforeAutospacing="0"/>
        <w:rPr>
          <w:rFonts w:ascii="Arial" w:hAnsi="Arial" w:cs="Arial"/>
        </w:rPr>
      </w:pPr>
      <w:r>
        <w:rPr>
          <w:rFonts w:ascii="Arial" w:hAnsi="Arial" w:cs="Arial"/>
          <w:b/>
          <w:bCs/>
        </w:rPr>
        <w:t>Técnica Cirúrgica Passo a Passo</w:t>
      </w:r>
      <w:r>
        <w:rPr>
          <w:rFonts w:ascii="Arial" w:hAnsi="Arial" w:cs="Arial"/>
        </w:rPr>
        <w:t xml:space="preserve"> Sob anestesia geral, neuromonitoração multimodal e posicionamento em decúbito ventral, aplica-se tração halofemoral perioperatória para atenuar a sobrecarga no sistema de distração. A abordagem posterior minimamente invasiva realiza dissecção subperiosteal restrita às áreas de ancoragem proximal e distal, preservando a musculatura e a vascularização no segmento intermediário para evitar autofusão. </w:t>
      </w:r>
    </w:p>
    <w:p w14:paraId="61B426DD" w14:textId="77777777" w:rsidR="00D040EA" w:rsidRDefault="00D040EA" w:rsidP="00D040EA">
      <w:pPr>
        <w:pStyle w:val="NormalWeb"/>
        <w:spacing w:before="0" w:beforeAutospacing="0"/>
        <w:rPr>
          <w:rFonts w:ascii="Arial" w:hAnsi="Arial" w:cs="Arial"/>
        </w:rPr>
      </w:pPr>
      <w:r>
        <w:rPr>
          <w:rFonts w:ascii="Arial" w:hAnsi="Arial" w:cs="Arial"/>
        </w:rPr>
        <w:t xml:space="preserve">A ancoragem proximal (geralmente T2-T4) utiliza preferencialmente ganchos sublaminares nos níveis mais superiores para diminuir a rigidez e prevenir o arrancamento e a cifose juncional proximal (PJK). A ancoragem distal (lombar ou ilíaca) combina parafusos pediculares (que neutralizam forças rotacionais) e ganchos subpediculares (para controle de cargas axiais). As hastes duplas são pré-moldadas e passadas por via subfascial com o auxílio de um guia. Os conectores (dominós ou tubos em linha) devem ser posicionados na transição toracolombar. No tempo inicial, não se utiliza o curso de distração dos dispositivos, reservando-o para cirurgias subsequentes, e instalam-se dispositivos de tração transversal (DTTs) para garantir estabilidade. </w:t>
      </w:r>
    </w:p>
    <w:p w14:paraId="5743CFDD" w14:textId="77777777" w:rsidR="00D040EA" w:rsidRDefault="00D040EA" w:rsidP="00D040EA">
      <w:pPr>
        <w:pStyle w:val="NormalWeb"/>
        <w:spacing w:before="0" w:beforeAutospacing="0"/>
        <w:rPr>
          <w:rFonts w:ascii="Arial" w:hAnsi="Arial" w:cs="Arial"/>
        </w:rPr>
      </w:pPr>
      <w:r>
        <w:rPr>
          <w:rFonts w:ascii="Arial" w:hAnsi="Arial" w:cs="Arial"/>
          <w:b/>
          <w:bCs/>
        </w:rPr>
        <w:t>Resultados e Complicações</w:t>
      </w:r>
      <w:r>
        <w:rPr>
          <w:rFonts w:ascii="Arial" w:hAnsi="Arial" w:cs="Arial"/>
        </w:rPr>
        <w:t xml:space="preserve"> A técnica TGR apresenta correção final do ângulo de Cobb em torno de 44% e ganho de crescimento T1-S1 de aproximadamente 1,0 cm/ano, superior a outras modalidades, porém à custa de cirurgias de revisão programadas. As complicações variam de 22% a 48%, englobando falhas mecânicas (quebra de haste, soltura de implantes) e biológicas (infecção, pseudoartrose, autofusão e PJK). Na maturidade esquelética (Risser 4), a conduta pode envolver a fusão espinhal posterior definitiva ou a retenção da construção dupla; a remoção isolada do implante sem fusão é contraindicada devido ao elevado risco de perda de correção. </w:t>
      </w:r>
    </w:p>
    <w:p w14:paraId="5F8A3A7C" w14:textId="77777777" w:rsidR="00D040EA" w:rsidRDefault="00D040EA" w:rsidP="00D040EA">
      <w:pPr>
        <w:pStyle w:val="NormalWeb"/>
        <w:spacing w:before="0" w:beforeAutospacing="0"/>
        <w:rPr>
          <w:rFonts w:ascii="Arial" w:hAnsi="Arial" w:cs="Arial"/>
        </w:rPr>
      </w:pPr>
      <w:r>
        <w:rPr>
          <w:rFonts w:ascii="Arial" w:hAnsi="Arial" w:cs="Arial"/>
          <w:b/>
          <w:bCs/>
        </w:rPr>
        <w:t>Aplicação clínica</w:t>
      </w:r>
    </w:p>
    <w:p w14:paraId="54F281C9" w14:textId="77777777" w:rsidR="00D040EA" w:rsidRDefault="00D040EA" w:rsidP="00D040EA">
      <w:pPr>
        <w:pStyle w:val="NormalWeb"/>
        <w:spacing w:before="0" w:beforeAutospacing="0"/>
        <w:rPr>
          <w:rFonts w:ascii="Arial" w:hAnsi="Arial" w:cs="Arial"/>
        </w:rPr>
      </w:pPr>
      <w:r>
        <w:rPr>
          <w:rFonts w:ascii="Arial" w:hAnsi="Arial" w:cs="Arial"/>
        </w:rPr>
        <w:t xml:space="preserve">A aplicação prática do capítulo centra-se na condução sistemática da escoliose de início precoce, orientando o cirurgião desde a seleção do paciente até o acompanhamento no término do crescimento. Diante de curvas progressivas em crianças menores de 10 anos, a investigação pré-operatória com RM do neuroeixo e testes funcionais respiratórios previne intervenções inadequadas. </w:t>
      </w:r>
      <w:r>
        <w:rPr>
          <w:rFonts w:ascii="Arial" w:hAnsi="Arial" w:cs="Arial"/>
        </w:rPr>
        <w:lastRenderedPageBreak/>
        <w:t xml:space="preserve">Em deformidades severas (&gt; 90°), a instituição de tração halogravitacional prévia reduz o risco cirúrgico e otimiza a flexibilidade. </w:t>
      </w:r>
    </w:p>
    <w:p w14:paraId="7669D495" w14:textId="77777777" w:rsidR="00D040EA" w:rsidRDefault="00D040EA" w:rsidP="00D040EA">
      <w:pPr>
        <w:pStyle w:val="NormalWeb"/>
        <w:spacing w:before="0" w:beforeAutospacing="0"/>
        <w:rPr>
          <w:rFonts w:ascii="Arial" w:hAnsi="Arial" w:cs="Arial"/>
        </w:rPr>
      </w:pPr>
      <w:r>
        <w:rPr>
          <w:rFonts w:ascii="Arial" w:hAnsi="Arial" w:cs="Arial"/>
        </w:rPr>
        <w:t xml:space="preserve">No ato cirúrgico, a precisão técnica exige o emprego de tração halofemoral peroperatória e uma dissecção subperiosteal estritamente localizada nas extremidades, protegendo o segmento intermediário contra a autofusão. A escolha da ancoragem proximal com ganchos sublaminares é uma decisão crucial para mitigar a cifose juncional proximal. Durante o acompanhamento, o planejamento de procedimentos repetitivos de distração exige rigor asséptico e monitoramento mecânico do material. Por fim, ao alcançar a maturidade esquelética (Risser 4), o cirurgião deve optar entre a fusão posterior definitiva e a manutenção do implante, evitando categoricamente a retirada isolada das hastes, responsável pelo colapso da deformidade na grande maioria dos casos. </w:t>
      </w:r>
    </w:p>
    <w:p w14:paraId="550D4CCB" w14:textId="77777777" w:rsidR="00D040EA" w:rsidRDefault="00D040EA" w:rsidP="00D040EA">
      <w:pPr>
        <w:pStyle w:val="NormalWeb"/>
        <w:spacing w:before="0" w:beforeAutospacing="0"/>
        <w:rPr>
          <w:rFonts w:ascii="Arial" w:hAnsi="Arial" w:cs="Arial"/>
        </w:rPr>
      </w:pPr>
      <w:r>
        <w:rPr>
          <w:rFonts w:ascii="Arial" w:hAnsi="Arial" w:cs="Arial"/>
          <w:b/>
          <w:bCs/>
        </w:rPr>
        <w:t>Mensagem central</w:t>
      </w:r>
    </w:p>
    <w:p w14:paraId="7A47DA8A" w14:textId="77777777" w:rsidR="00D040EA" w:rsidRDefault="00D040EA" w:rsidP="00D040EA">
      <w:pPr>
        <w:pStyle w:val="NormalWeb"/>
        <w:spacing w:before="0" w:beforeAutospacing="0"/>
        <w:rPr>
          <w:rFonts w:ascii="Arial" w:hAnsi="Arial" w:cs="Arial"/>
        </w:rPr>
      </w:pPr>
      <w:r>
        <w:rPr>
          <w:rFonts w:ascii="Arial" w:hAnsi="Arial" w:cs="Arial"/>
        </w:rPr>
        <w:t xml:space="preserve">As hastes de crescimento tradicionais constituem uma técnica consagrada para a escoliose de início precoce, permitindo o controle da deformidade e o desenvolvimento axial e pulmonar contínuo. Sua eficácia baseia-se no planejamento rigoroso, no uso de hastes duplas com ancoragem híbrida e na preservação da anatomia intermediária para evitar a autofusão. Ao final do crescimento, a tomada de decisão exige a fusão definitiva ou a retenção do implante, sendo a remoção isolada formalmente contraindicada. </w:t>
      </w:r>
    </w:p>
    <w:p w14:paraId="3197D552" w14:textId="77777777" w:rsidR="00D040EA" w:rsidRDefault="00D040EA" w:rsidP="00D040EA">
      <w:pPr>
        <w:pStyle w:val="NormalWeb"/>
        <w:spacing w:before="0" w:beforeAutospacing="0"/>
        <w:rPr>
          <w:rFonts w:ascii="Arial" w:hAnsi="Arial" w:cs="Arial"/>
        </w:rPr>
      </w:pPr>
      <w:r>
        <w:rPr>
          <w:rFonts w:ascii="Arial" w:hAnsi="Arial" w:cs="Arial"/>
          <w:b/>
          <w:bCs/>
        </w:rPr>
        <w:t>Por que este capítulo importa</w:t>
      </w:r>
    </w:p>
    <w:p w14:paraId="28DF87ED" w14:textId="77777777" w:rsidR="00D040EA" w:rsidRDefault="00D040EA" w:rsidP="00D040EA">
      <w:pPr>
        <w:pStyle w:val="NormalWeb"/>
        <w:spacing w:before="0" w:beforeAutospacing="0"/>
        <w:rPr>
          <w:rFonts w:ascii="Arial" w:hAnsi="Arial" w:cs="Arial"/>
        </w:rPr>
      </w:pPr>
      <w:r>
        <w:rPr>
          <w:rFonts w:ascii="Arial" w:hAnsi="Arial" w:cs="Arial"/>
        </w:rPr>
        <w:t xml:space="preserve">O manejo da escoliose de início precoce impõe o desafio de corrigir deformidades graves sem comprometer a expansão torácica e a altura do tronco. Este capítulo oferece diretrizes cirúrgicas práticas sobre a técnica de hastes de crescimento tradicionais, detalhando estratégias para prevenir complicações como a autofusão e a cifose juncional proximal. Ao abordar desde a tração pré-operatória e a seleção de ancoragens híbridas até a conduta definitiva na maturidade esquelética, o texto fornece ao cirurgião os subsídios necessários para tomar decisões seguras, minimizar falhas mecânicas e proteger a função respiratória e a qualidade de vida do paciente pediátrico. </w:t>
      </w:r>
    </w:p>
    <w:p w14:paraId="226E6079" w14:textId="77777777" w:rsidR="00D040EA" w:rsidRDefault="00D040EA" w:rsidP="00D040EA">
      <w:pPr>
        <w:pStyle w:val="NormalWeb"/>
        <w:spacing w:before="0" w:beforeAutospacing="0"/>
        <w:rPr>
          <w:rFonts w:ascii="Arial" w:hAnsi="Arial" w:cs="Arial"/>
        </w:rPr>
      </w:pPr>
      <w:r>
        <w:rPr>
          <w:rFonts w:ascii="Arial" w:hAnsi="Arial" w:cs="Arial"/>
          <w:b/>
          <w:bCs/>
        </w:rPr>
        <w:t>Descritores DeCS e MeSH</w:t>
      </w:r>
    </w:p>
    <w:p w14:paraId="7F77BF78" w14:textId="77777777" w:rsidR="00D040EA" w:rsidRDefault="00D040EA" w:rsidP="00D040EA">
      <w:pPr>
        <w:pStyle w:val="NormalWeb"/>
        <w:spacing w:before="0" w:beforeAutospacing="0"/>
        <w:rPr>
          <w:rFonts w:ascii="Arial" w:hAnsi="Arial" w:cs="Arial"/>
        </w:rPr>
      </w:pPr>
      <w:r>
        <w:rPr>
          <w:rFonts w:ascii="Arial" w:hAnsi="Arial" w:cs="Arial"/>
          <w:b/>
          <w:bCs/>
        </w:rPr>
        <w:t>Descritores DeCS (</w:t>
      </w:r>
      <w:proofErr w:type="gramStart"/>
      <w:r>
        <w:rPr>
          <w:rFonts w:ascii="Arial" w:hAnsi="Arial" w:cs="Arial"/>
          <w:b/>
          <w:bCs/>
        </w:rPr>
        <w:t>Português</w:t>
      </w:r>
      <w:proofErr w:type="gramEnd"/>
      <w:r>
        <w:rPr>
          <w:rFonts w:ascii="Arial" w:hAnsi="Arial" w:cs="Arial"/>
          <w:b/>
          <w:bCs/>
        </w:rPr>
        <w:t>):</w:t>
      </w:r>
    </w:p>
    <w:p w14:paraId="2FF963AB" w14:textId="77777777" w:rsidR="00D040EA" w:rsidRDefault="00D040EA" w:rsidP="00D040EA">
      <w:pPr>
        <w:pStyle w:val="NormalWeb"/>
        <w:numPr>
          <w:ilvl w:val="0"/>
          <w:numId w:val="10"/>
        </w:numPr>
        <w:spacing w:before="0" w:beforeAutospacing="0"/>
        <w:rPr>
          <w:rFonts w:ascii="Arial" w:hAnsi="Arial" w:cs="Arial"/>
        </w:rPr>
      </w:pPr>
      <w:r>
        <w:rPr>
          <w:rFonts w:ascii="Arial" w:hAnsi="Arial" w:cs="Arial"/>
        </w:rPr>
        <w:t xml:space="preserve">Escoliose </w:t>
      </w:r>
    </w:p>
    <w:p w14:paraId="0D716161" w14:textId="77777777" w:rsidR="00D040EA" w:rsidRDefault="00D040EA" w:rsidP="00D040EA">
      <w:pPr>
        <w:pStyle w:val="NormalWeb"/>
        <w:numPr>
          <w:ilvl w:val="0"/>
          <w:numId w:val="10"/>
        </w:numPr>
        <w:spacing w:before="0" w:beforeAutospacing="0"/>
        <w:rPr>
          <w:rFonts w:ascii="Arial" w:hAnsi="Arial" w:cs="Arial"/>
        </w:rPr>
      </w:pPr>
      <w:r>
        <w:rPr>
          <w:rFonts w:ascii="Arial" w:hAnsi="Arial" w:cs="Arial"/>
        </w:rPr>
        <w:t xml:space="preserve">Coluna Vertebral </w:t>
      </w:r>
    </w:p>
    <w:p w14:paraId="51B179F0" w14:textId="77777777" w:rsidR="00D040EA" w:rsidRDefault="00D040EA" w:rsidP="00D040EA">
      <w:pPr>
        <w:pStyle w:val="NormalWeb"/>
        <w:numPr>
          <w:ilvl w:val="0"/>
          <w:numId w:val="10"/>
        </w:numPr>
        <w:spacing w:before="0" w:beforeAutospacing="0"/>
        <w:rPr>
          <w:rFonts w:ascii="Arial" w:hAnsi="Arial" w:cs="Arial"/>
        </w:rPr>
      </w:pPr>
      <w:r>
        <w:rPr>
          <w:rFonts w:ascii="Arial" w:hAnsi="Arial" w:cs="Arial"/>
        </w:rPr>
        <w:t xml:space="preserve">Implantes Espinais </w:t>
      </w:r>
    </w:p>
    <w:p w14:paraId="209FD2C4" w14:textId="77777777" w:rsidR="00D040EA" w:rsidRDefault="00D040EA" w:rsidP="00D040EA">
      <w:pPr>
        <w:pStyle w:val="NormalWeb"/>
        <w:numPr>
          <w:ilvl w:val="0"/>
          <w:numId w:val="10"/>
        </w:numPr>
        <w:spacing w:before="0" w:beforeAutospacing="0"/>
        <w:rPr>
          <w:rFonts w:ascii="Arial" w:hAnsi="Arial" w:cs="Arial"/>
        </w:rPr>
      </w:pPr>
      <w:r>
        <w:rPr>
          <w:rFonts w:ascii="Arial" w:hAnsi="Arial" w:cs="Arial"/>
        </w:rPr>
        <w:t xml:space="preserve">Procedimentos Cirúrgicos Operatórios </w:t>
      </w:r>
    </w:p>
    <w:p w14:paraId="2E65763B" w14:textId="77777777" w:rsidR="00D040EA" w:rsidRDefault="00D040EA" w:rsidP="00D040EA">
      <w:pPr>
        <w:pStyle w:val="NormalWeb"/>
        <w:numPr>
          <w:ilvl w:val="0"/>
          <w:numId w:val="10"/>
        </w:numPr>
        <w:spacing w:before="0" w:beforeAutospacing="0"/>
        <w:rPr>
          <w:rFonts w:ascii="Arial" w:hAnsi="Arial" w:cs="Arial"/>
        </w:rPr>
      </w:pPr>
      <w:r>
        <w:rPr>
          <w:rFonts w:ascii="Arial" w:hAnsi="Arial" w:cs="Arial"/>
        </w:rPr>
        <w:t xml:space="preserve">Tração </w:t>
      </w:r>
    </w:p>
    <w:p w14:paraId="057584C9" w14:textId="77777777" w:rsidR="00D040EA" w:rsidRDefault="00D040EA" w:rsidP="00D040EA">
      <w:pPr>
        <w:pStyle w:val="NormalWeb"/>
        <w:spacing w:before="0" w:beforeAutospacing="0"/>
        <w:rPr>
          <w:rFonts w:ascii="Arial" w:hAnsi="Arial" w:cs="Arial"/>
        </w:rPr>
      </w:pPr>
      <w:r>
        <w:rPr>
          <w:rFonts w:ascii="Arial" w:hAnsi="Arial" w:cs="Arial"/>
          <w:b/>
          <w:bCs/>
        </w:rPr>
        <w:t>Descritores MeSH (</w:t>
      </w:r>
      <w:proofErr w:type="gramStart"/>
      <w:r>
        <w:rPr>
          <w:rFonts w:ascii="Arial" w:hAnsi="Arial" w:cs="Arial"/>
          <w:b/>
          <w:bCs/>
        </w:rPr>
        <w:t>Inglês</w:t>
      </w:r>
      <w:proofErr w:type="gramEnd"/>
      <w:r>
        <w:rPr>
          <w:rFonts w:ascii="Arial" w:hAnsi="Arial" w:cs="Arial"/>
          <w:b/>
          <w:bCs/>
        </w:rPr>
        <w:t>):</w:t>
      </w:r>
    </w:p>
    <w:p w14:paraId="0873D436" w14:textId="77777777" w:rsidR="00D040EA" w:rsidRDefault="00D040EA" w:rsidP="00D040EA">
      <w:pPr>
        <w:pStyle w:val="NormalWeb"/>
        <w:numPr>
          <w:ilvl w:val="0"/>
          <w:numId w:val="11"/>
        </w:numPr>
        <w:spacing w:before="0" w:beforeAutospacing="0"/>
        <w:rPr>
          <w:rFonts w:ascii="Arial" w:hAnsi="Arial" w:cs="Arial"/>
        </w:rPr>
      </w:pPr>
      <w:r>
        <w:rPr>
          <w:rFonts w:ascii="Arial" w:hAnsi="Arial" w:cs="Arial"/>
        </w:rPr>
        <w:lastRenderedPageBreak/>
        <w:t xml:space="preserve">Scoliosis </w:t>
      </w:r>
    </w:p>
    <w:p w14:paraId="5EA0D024" w14:textId="77777777" w:rsidR="00D040EA" w:rsidRDefault="00D040EA" w:rsidP="00D040EA">
      <w:pPr>
        <w:pStyle w:val="NormalWeb"/>
        <w:numPr>
          <w:ilvl w:val="0"/>
          <w:numId w:val="11"/>
        </w:numPr>
        <w:spacing w:before="0" w:beforeAutospacing="0"/>
        <w:rPr>
          <w:rFonts w:ascii="Arial" w:hAnsi="Arial" w:cs="Arial"/>
        </w:rPr>
      </w:pPr>
      <w:r>
        <w:rPr>
          <w:rFonts w:ascii="Arial" w:hAnsi="Arial" w:cs="Arial"/>
        </w:rPr>
        <w:t xml:space="preserve">Spine </w:t>
      </w:r>
    </w:p>
    <w:p w14:paraId="5A5DDB94" w14:textId="77777777" w:rsidR="00D040EA" w:rsidRDefault="00D040EA" w:rsidP="00D040EA">
      <w:pPr>
        <w:pStyle w:val="NormalWeb"/>
        <w:numPr>
          <w:ilvl w:val="0"/>
          <w:numId w:val="11"/>
        </w:numPr>
        <w:spacing w:before="0" w:beforeAutospacing="0"/>
        <w:rPr>
          <w:rFonts w:ascii="Arial" w:hAnsi="Arial" w:cs="Arial"/>
        </w:rPr>
      </w:pPr>
      <w:r>
        <w:rPr>
          <w:rFonts w:ascii="Arial" w:hAnsi="Arial" w:cs="Arial"/>
        </w:rPr>
        <w:t xml:space="preserve">Spinal Implants </w:t>
      </w:r>
    </w:p>
    <w:p w14:paraId="5DBDA92F" w14:textId="77777777" w:rsidR="00D040EA" w:rsidRDefault="00D040EA" w:rsidP="00D040EA">
      <w:pPr>
        <w:pStyle w:val="NormalWeb"/>
        <w:numPr>
          <w:ilvl w:val="0"/>
          <w:numId w:val="11"/>
        </w:numPr>
        <w:spacing w:before="0" w:beforeAutospacing="0"/>
        <w:rPr>
          <w:rFonts w:ascii="Arial" w:hAnsi="Arial" w:cs="Arial"/>
        </w:rPr>
      </w:pPr>
      <w:r>
        <w:rPr>
          <w:rFonts w:ascii="Arial" w:hAnsi="Arial" w:cs="Arial"/>
        </w:rPr>
        <w:t xml:space="preserve">Surgical Procedures, Operative </w:t>
      </w:r>
    </w:p>
    <w:p w14:paraId="501069E8" w14:textId="77777777" w:rsidR="00D040EA" w:rsidRDefault="00D040EA" w:rsidP="00D040EA">
      <w:pPr>
        <w:pStyle w:val="NormalWeb"/>
        <w:numPr>
          <w:ilvl w:val="0"/>
          <w:numId w:val="11"/>
        </w:numPr>
        <w:spacing w:before="0" w:beforeAutospacing="0"/>
        <w:rPr>
          <w:rFonts w:ascii="Arial" w:hAnsi="Arial" w:cs="Arial"/>
        </w:rPr>
      </w:pPr>
      <w:r>
        <w:rPr>
          <w:rFonts w:ascii="Arial" w:hAnsi="Arial" w:cs="Arial"/>
        </w:rPr>
        <w:t xml:space="preserve">Traction </w:t>
      </w:r>
    </w:p>
    <w:p w14:paraId="20BBD076" w14:textId="77777777" w:rsidR="00D040EA" w:rsidRDefault="00D040EA" w:rsidP="00D040EA">
      <w:pPr>
        <w:pStyle w:val="NormalWeb"/>
        <w:spacing w:before="0" w:beforeAutospacing="0"/>
        <w:rPr>
          <w:rFonts w:ascii="Arial" w:hAnsi="Arial" w:cs="Arial"/>
        </w:rPr>
      </w:pPr>
      <w:r>
        <w:rPr>
          <w:rFonts w:ascii="Arial" w:hAnsi="Arial" w:cs="Arial"/>
          <w:b/>
          <w:bCs/>
        </w:rPr>
        <w:t>Palavras-chave livres:</w:t>
      </w:r>
    </w:p>
    <w:p w14:paraId="6038F6E9" w14:textId="77777777" w:rsidR="00D040EA" w:rsidRDefault="00D040EA" w:rsidP="00D040EA">
      <w:pPr>
        <w:pStyle w:val="NormalWeb"/>
        <w:numPr>
          <w:ilvl w:val="0"/>
          <w:numId w:val="12"/>
        </w:numPr>
        <w:spacing w:before="0" w:beforeAutospacing="0"/>
        <w:rPr>
          <w:rFonts w:ascii="Arial" w:hAnsi="Arial" w:cs="Arial"/>
        </w:rPr>
      </w:pPr>
      <w:r>
        <w:rPr>
          <w:rFonts w:ascii="Arial" w:hAnsi="Arial" w:cs="Arial"/>
        </w:rPr>
        <w:t xml:space="preserve">Hastes de crescimento tradicionais </w:t>
      </w:r>
    </w:p>
    <w:p w14:paraId="046543C1" w14:textId="77777777" w:rsidR="00D040EA" w:rsidRDefault="00D040EA" w:rsidP="00D040EA">
      <w:pPr>
        <w:pStyle w:val="NormalWeb"/>
        <w:numPr>
          <w:ilvl w:val="0"/>
          <w:numId w:val="12"/>
        </w:numPr>
        <w:spacing w:before="0" w:beforeAutospacing="0"/>
        <w:rPr>
          <w:rFonts w:ascii="Arial" w:hAnsi="Arial" w:cs="Arial"/>
        </w:rPr>
      </w:pPr>
      <w:r>
        <w:rPr>
          <w:rFonts w:ascii="Arial" w:hAnsi="Arial" w:cs="Arial"/>
        </w:rPr>
        <w:t xml:space="preserve">Escoliose de início precoce </w:t>
      </w:r>
    </w:p>
    <w:p w14:paraId="3BE5074C" w14:textId="77777777" w:rsidR="00D040EA" w:rsidRDefault="00D040EA" w:rsidP="00D040EA">
      <w:pPr>
        <w:pStyle w:val="NormalWeb"/>
        <w:spacing w:before="0" w:beforeAutospacing="0"/>
        <w:rPr>
          <w:rFonts w:ascii="Arial" w:hAnsi="Arial" w:cs="Arial"/>
        </w:rPr>
      </w:pPr>
      <w:r>
        <w:rPr>
          <w:rFonts w:ascii="Arial" w:hAnsi="Arial" w:cs="Arial"/>
          <w:b/>
          <w:bCs/>
        </w:rPr>
        <w:t>Três cards de destaque</w:t>
      </w:r>
    </w:p>
    <w:p w14:paraId="5C55D3B0" w14:textId="77777777" w:rsidR="00D040EA" w:rsidRDefault="00D040EA" w:rsidP="00D040EA">
      <w:pPr>
        <w:pStyle w:val="NormalWeb"/>
        <w:spacing w:before="0" w:beforeAutospacing="0"/>
        <w:rPr>
          <w:rFonts w:ascii="Arial" w:hAnsi="Arial" w:cs="Arial"/>
        </w:rPr>
      </w:pPr>
      <w:r>
        <w:rPr>
          <w:rFonts w:ascii="Arial" w:hAnsi="Arial" w:cs="Arial"/>
          <w:b/>
          <w:bCs/>
        </w:rPr>
        <w:t>Card 1 — Conceito essencial</w:t>
      </w:r>
      <w:r>
        <w:rPr>
          <w:rFonts w:ascii="Arial" w:hAnsi="Arial" w:cs="Arial"/>
        </w:rPr>
        <w:t xml:space="preserve"> </w:t>
      </w:r>
      <w:r>
        <w:rPr>
          <w:rFonts w:ascii="Arial" w:hAnsi="Arial" w:cs="Arial"/>
          <w:b/>
          <w:bCs/>
        </w:rPr>
        <w:t>Preservação da Musculatura Intermediária</w:t>
      </w:r>
      <w:r>
        <w:rPr>
          <w:rFonts w:ascii="Arial" w:hAnsi="Arial" w:cs="Arial"/>
        </w:rPr>
        <w:t xml:space="preserve"> A dissecção subperiosteal na técnica de hastes de crescimento tradicionais deve ser estritamente limitada às regiões de ancoragem proximal e distal. A preservação da musculatura e vascularização do segmento intermediário da coluna é fundamental para impedir a autofusão espontânea, garantindo a mobilidade e o crescimento axial contínuo ao longo de todo o tratamento. </w:t>
      </w:r>
    </w:p>
    <w:p w14:paraId="63A6E20C" w14:textId="77777777" w:rsidR="00D040EA" w:rsidRDefault="00D040EA" w:rsidP="00D040EA">
      <w:pPr>
        <w:pStyle w:val="NormalWeb"/>
        <w:spacing w:before="0" w:beforeAutospacing="0"/>
        <w:rPr>
          <w:rFonts w:ascii="Arial" w:hAnsi="Arial" w:cs="Arial"/>
        </w:rPr>
      </w:pPr>
      <w:r>
        <w:rPr>
          <w:rFonts w:ascii="Arial" w:hAnsi="Arial" w:cs="Arial"/>
          <w:b/>
          <w:bCs/>
        </w:rPr>
        <w:t>Card 2 — Decisão clínica</w:t>
      </w:r>
      <w:r>
        <w:rPr>
          <w:rFonts w:ascii="Arial" w:hAnsi="Arial" w:cs="Arial"/>
        </w:rPr>
        <w:t xml:space="preserve"> </w:t>
      </w:r>
      <w:r>
        <w:rPr>
          <w:rFonts w:ascii="Arial" w:hAnsi="Arial" w:cs="Arial"/>
          <w:b/>
          <w:bCs/>
        </w:rPr>
        <w:t>Estratégia na Maturidade Esquelética</w:t>
      </w:r>
      <w:r>
        <w:rPr>
          <w:rFonts w:ascii="Arial" w:hAnsi="Arial" w:cs="Arial"/>
        </w:rPr>
        <w:t xml:space="preserve"> Ao atingir o estágio Risser 4, o cirurgião pode optar pela fusão espinhal posterior definitiva ou pela retenção do implante em casos com correção satisfatória. No entanto, a remoção simples das hastes sem a realização de fusão concomitante deve ser evitada, pois resulta em piora da deformidade e perda de correção em 90% dos pacientes. </w:t>
      </w:r>
    </w:p>
    <w:p w14:paraId="143AE1C5" w14:textId="77777777" w:rsidR="00D040EA" w:rsidRDefault="00D040EA" w:rsidP="00D040EA">
      <w:pPr>
        <w:pStyle w:val="NormalWeb"/>
        <w:spacing w:before="0" w:beforeAutospacing="0"/>
        <w:rPr>
          <w:rFonts w:ascii="Arial" w:hAnsi="Arial" w:cs="Arial"/>
        </w:rPr>
      </w:pPr>
      <w:r>
        <w:rPr>
          <w:rFonts w:ascii="Arial" w:hAnsi="Arial" w:cs="Arial"/>
          <w:b/>
          <w:bCs/>
        </w:rPr>
        <w:t>Card 3 — Pérola ou alerta</w:t>
      </w:r>
      <w:r>
        <w:rPr>
          <w:rFonts w:ascii="Arial" w:hAnsi="Arial" w:cs="Arial"/>
        </w:rPr>
        <w:t xml:space="preserve"> </w:t>
      </w:r>
      <w:r>
        <w:rPr>
          <w:rFonts w:ascii="Arial" w:hAnsi="Arial" w:cs="Arial"/>
          <w:b/>
          <w:bCs/>
        </w:rPr>
        <w:t>Ancoragem Híbrida para Prevenção de PJK</w:t>
      </w:r>
      <w:r>
        <w:rPr>
          <w:rFonts w:ascii="Arial" w:hAnsi="Arial" w:cs="Arial"/>
        </w:rPr>
        <w:t xml:space="preserve"> Na ancoragem proximal (geralmente T2-T4), recomenda-se a utilização de ganchos sublaminares nos níveis superiores em vez de parafusos pediculares. Essa abordagem proporciona menor rigidez mecânica e reduz o risco de arrancamento dos implantes, diminuindo expressivamente a ocorrência de cifose juncional proximal (PJK) durante o acompanhamento a longo prazo. </w:t>
      </w:r>
    </w:p>
    <w:p w14:paraId="31F3FC43" w14:textId="77777777" w:rsidR="00D040EA" w:rsidRDefault="00D040EA" w:rsidP="00D040EA">
      <w:pPr>
        <w:pStyle w:val="NormalWeb"/>
        <w:spacing w:before="0" w:beforeAutospacing="0"/>
        <w:rPr>
          <w:rFonts w:ascii="Arial" w:hAnsi="Arial" w:cs="Arial"/>
        </w:rPr>
      </w:pPr>
      <w:r>
        <w:rPr>
          <w:rFonts w:ascii="Arial" w:hAnsi="Arial" w:cs="Arial"/>
          <w:b/>
          <w:bCs/>
        </w:rPr>
        <w:t>Referências bibliográficas</w:t>
      </w:r>
    </w:p>
    <w:p w14:paraId="78216AEE"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Miladi L, Mousny M. A novel technique for treatment of progressive scoliosis in young children using a 3-hook and 2-screw construct (H3S2) on a single sub-muscular growing rod: Surgical technique. </w:t>
      </w:r>
      <w:r>
        <w:rPr>
          <w:rFonts w:ascii="Arial" w:hAnsi="Arial" w:cs="Arial"/>
        </w:rPr>
        <w:t xml:space="preserve">European Spine Journal. 2014; 23(Suppl. 4):5432-7. </w:t>
      </w:r>
    </w:p>
    <w:p w14:paraId="35102F70"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Gupta K, Barik S, Sarkar MH, Chaudhary S, Sinha SK, Raj V, et al. Use of Growth Rod Systems for Management of Early Onset Scoliosis in Cerebral Palsy: A Systematic Review. </w:t>
      </w:r>
      <w:r>
        <w:rPr>
          <w:rFonts w:ascii="Arial" w:hAnsi="Arial" w:cs="Arial"/>
        </w:rPr>
        <w:t xml:space="preserve">Turkish Neurosurgery. Turkish Neurosurgical Society. 2023; 33(2):177-84. </w:t>
      </w:r>
    </w:p>
    <w:p w14:paraId="48F8A2A5"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Wijdicks SPJ, Tromp IN, Yazici M, Kempen DHR, Castelein RM, Kruyt MC. A comparison of growth among growth-friendly systems for scoliosis: a systematic review. </w:t>
      </w:r>
      <w:r>
        <w:rPr>
          <w:rFonts w:ascii="Arial" w:hAnsi="Arial" w:cs="Arial"/>
        </w:rPr>
        <w:t xml:space="preserve">Spine Journal. Elsevier Inc. 2019; 19(5):789-99. </w:t>
      </w:r>
    </w:p>
    <w:p w14:paraId="05846E4F"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lastRenderedPageBreak/>
        <w:t xml:space="preserve">Guan D, Zhang Y, Xu J. Clinical Outcome of Magnetically Controlled Growing Rod in Early-onset Scoliosis a Systematic Review [Internet]. </w:t>
      </w:r>
      <w:r>
        <w:rPr>
          <w:rFonts w:ascii="Arial" w:hAnsi="Arial" w:cs="Arial"/>
        </w:rPr>
        <w:t xml:space="preserve">2019. Disponível em: </w:t>
      </w:r>
      <w:hyperlink r:id="rId5" w:tgtFrame="_blank" w:history="1">
        <w:r>
          <w:rPr>
            <w:rStyle w:val="Hyperlink"/>
            <w:rFonts w:ascii="Arial" w:hAnsi="Arial" w:cs="Arial"/>
          </w:rPr>
          <w:t>http://links.lww.com/CLINSPINE/A119</w:t>
        </w:r>
      </w:hyperlink>
      <w:r>
        <w:rPr>
          <w:rFonts w:ascii="Arial" w:hAnsi="Arial" w:cs="Arial"/>
        </w:rPr>
        <w:t xml:space="preserve">. </w:t>
      </w:r>
    </w:p>
    <w:p w14:paraId="4488826C"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Pu X, Yang B, Zhou Q, Chen H, Wang B, Zhu Z, et al. Halo-gravity traction combined with growing rod treatment: an effective preoperative management for severe early-onset scoliosis. </w:t>
      </w:r>
      <w:r>
        <w:rPr>
          <w:rFonts w:ascii="Arial" w:hAnsi="Arial" w:cs="Arial"/>
        </w:rPr>
        <w:t xml:space="preserve">J Neurosurg Spine. 2023; 39(6):734-41. </w:t>
      </w:r>
    </w:p>
    <w:p w14:paraId="44004C24"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Jain VV, Berry CA, Crawford AH, Emans JB, Sponseller PD. Growing Rods Are an Effective Fusionless Method of Controlling Early-Onset Scoliosis Associated with Neurofibromatosis Type 1 (NF1): A Multicenter Retrospective Case Series. </w:t>
      </w:r>
      <w:r>
        <w:rPr>
          <w:rFonts w:ascii="Arial" w:hAnsi="Arial" w:cs="Arial"/>
        </w:rPr>
        <w:t xml:space="preserve">Journal of Pediatric Orthopaedics. 2017; 37(8):e612-8. </w:t>
      </w:r>
    </w:p>
    <w:p w14:paraId="5A75D1ED"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Zhang YBin, Zhang JG. Treatment of early-onset scoliosis: Techniques, indications, and complications. </w:t>
      </w:r>
      <w:r>
        <w:rPr>
          <w:rFonts w:ascii="Arial" w:hAnsi="Arial" w:cs="Arial"/>
        </w:rPr>
        <w:t xml:space="preserve">Chinese Medical Journal. Lippincott Williams and Wilkins. 2020; 133(3):351-7. </w:t>
      </w:r>
    </w:p>
    <w:p w14:paraId="75034A8F"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Chandran S, Mccarthy J, Noonan K, Mann D, Nemeth B, Guiliani T. Early Treatment of Scoliosis with Growing Rods in Children with Severe Spinal Muscular Atrophy: A Preliminary Report [Internet]. </w:t>
      </w:r>
      <w:r>
        <w:rPr>
          <w:rFonts w:ascii="Arial" w:hAnsi="Arial" w:cs="Arial"/>
        </w:rPr>
        <w:t xml:space="preserve">2011. Disponível em: </w:t>
      </w:r>
      <w:hyperlink r:id="rId6" w:tgtFrame="_blank" w:history="1">
        <w:r>
          <w:rPr>
            <w:rStyle w:val="Hyperlink"/>
            <w:rFonts w:ascii="Arial" w:hAnsi="Arial" w:cs="Arial"/>
          </w:rPr>
          <w:t>www.pedorthopaedics.com</w:t>
        </w:r>
      </w:hyperlink>
      <w:r>
        <w:rPr>
          <w:rFonts w:ascii="Arial" w:hAnsi="Arial" w:cs="Arial"/>
        </w:rPr>
        <w:t xml:space="preserve">. </w:t>
      </w:r>
    </w:p>
    <w:p w14:paraId="1A504B82"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Schur M, Andras LM, Murgai R, Siddiqui AA, Gonsalves NR, Sponseller PD, et al. Pelvic Obliquity Correction in Distraction-Based Growth Friendly Implants. </w:t>
      </w:r>
      <w:r>
        <w:rPr>
          <w:rFonts w:ascii="Arial" w:hAnsi="Arial" w:cs="Arial"/>
        </w:rPr>
        <w:t xml:space="preserve">Spine Deform. 2019; 7(6):985-91. </w:t>
      </w:r>
    </w:p>
    <w:p w14:paraId="156D81F0"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Poe-Kochert C, Shannon C, Pawelek JB, Thompson GH, Hardesty CK, Marks DS, et al. Final fusion after growing-rod treatment for early onset scoliosis is it really final? </w:t>
      </w:r>
      <w:r>
        <w:rPr>
          <w:rFonts w:ascii="Arial" w:hAnsi="Arial" w:cs="Arial"/>
        </w:rPr>
        <w:t xml:space="preserve">Journal of Bone and Joint Surgery - American Volume. 2016; 98(22):1913-7. </w:t>
      </w:r>
    </w:p>
    <w:p w14:paraId="251E8125"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Munigangaiah S, Brown P, Mohamed M, Bruce CE, Trivedi JM, Davidson NT. A novel technique for the subfascial insertion of magnetically controlled growing rods - The Alder Hey technique. </w:t>
      </w:r>
      <w:r>
        <w:rPr>
          <w:rFonts w:ascii="Arial" w:hAnsi="Arial" w:cs="Arial"/>
        </w:rPr>
        <w:t xml:space="preserve">J Craniovertebr Junction Spine. 2018; 9(4):250-3. </w:t>
      </w:r>
    </w:p>
    <w:p w14:paraId="1E4D41AF"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Hart R, Hettwer W, Liu Q, Prem S. Mechanical Stiffness of Segmental Versus Nonsegmental Pedicle Screw Constructs: The Effect of Cross-Links. </w:t>
      </w:r>
      <w:r>
        <w:rPr>
          <w:rFonts w:ascii="Arial" w:hAnsi="Arial" w:cs="Arial"/>
        </w:rPr>
        <w:t xml:space="preserve">Spine (Phila Pa 1976). 2006; 31(2):E35-8. </w:t>
      </w:r>
    </w:p>
    <w:p w14:paraId="14DD96DE"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Wang T, Fan N, Zang L, Yuan S, Du P, Si F, et al. Comparative efficacy and complications of single and dual growing rods for early-onset scoliosis: an updated meta-analysis. </w:t>
      </w:r>
      <w:r>
        <w:rPr>
          <w:rFonts w:ascii="Arial" w:hAnsi="Arial" w:cs="Arial"/>
        </w:rPr>
        <w:t xml:space="preserve">Eur Spine J. 2023; 32(1):167-80. </w:t>
      </w:r>
    </w:p>
    <w:p w14:paraId="13F17048" w14:textId="77777777" w:rsidR="00D040EA" w:rsidRDefault="00D040EA" w:rsidP="00D040EA">
      <w:pPr>
        <w:pStyle w:val="NormalWeb"/>
        <w:numPr>
          <w:ilvl w:val="0"/>
          <w:numId w:val="13"/>
        </w:numPr>
        <w:spacing w:before="0" w:beforeAutospacing="0"/>
        <w:rPr>
          <w:rFonts w:ascii="Arial" w:hAnsi="Arial" w:cs="Arial"/>
        </w:rPr>
      </w:pPr>
      <w:r w:rsidRPr="00D040EA">
        <w:rPr>
          <w:rFonts w:ascii="Arial" w:hAnsi="Arial" w:cs="Arial"/>
          <w:lang w:val="en-US"/>
        </w:rPr>
        <w:t xml:space="preserve">Bouthors C, Gaume M, Glorion C, Miladi L. Outcomes at skeletal maturity of 34 children with scoliosis treated with a traditional single growing rod. </w:t>
      </w:r>
      <w:r>
        <w:rPr>
          <w:rFonts w:ascii="Arial" w:hAnsi="Arial" w:cs="Arial"/>
        </w:rPr>
        <w:t xml:space="preserve">Spine (Phila Pa 1976). 2019; 44(23):1630-37. </w:t>
      </w:r>
    </w:p>
    <w:p w14:paraId="306D4563" w14:textId="77777777" w:rsidR="00D040EA" w:rsidRDefault="00D040EA" w:rsidP="00D040EA">
      <w:pPr>
        <w:pStyle w:val="NormalWeb"/>
        <w:spacing w:before="0" w:beforeAutospacing="0"/>
        <w:rPr>
          <w:rFonts w:ascii="Arial" w:hAnsi="Arial" w:cs="Arial"/>
        </w:rPr>
      </w:pPr>
      <w:r>
        <w:rPr>
          <w:rFonts w:ascii="Arial" w:hAnsi="Arial" w:cs="Arial"/>
          <w:b/>
          <w:bCs/>
        </w:rPr>
        <w:t>Análise de Inconsistências nas Referências Bibliográficas:</w:t>
      </w:r>
    </w:p>
    <w:p w14:paraId="6B0BA886" w14:textId="77777777" w:rsidR="00D040EA" w:rsidRDefault="00D040EA" w:rsidP="00D040EA">
      <w:pPr>
        <w:pStyle w:val="NormalWeb"/>
        <w:numPr>
          <w:ilvl w:val="0"/>
          <w:numId w:val="14"/>
        </w:numPr>
        <w:spacing w:before="0" w:beforeAutospacing="0"/>
        <w:rPr>
          <w:rFonts w:ascii="Arial" w:hAnsi="Arial" w:cs="Arial"/>
        </w:rPr>
      </w:pPr>
      <w:r>
        <w:rPr>
          <w:rFonts w:ascii="Arial" w:hAnsi="Arial" w:cs="Arial"/>
          <w:b/>
          <w:bCs/>
        </w:rPr>
        <w:t>Referência 1:</w:t>
      </w:r>
      <w:r>
        <w:rPr>
          <w:rFonts w:ascii="Arial" w:hAnsi="Arial" w:cs="Arial"/>
        </w:rPr>
        <w:t xml:space="preserve"> Apresenta provável erro de digitação na paginação "5432-7" em vez da convenção habitual de suplemento "S432-7". </w:t>
      </w:r>
    </w:p>
    <w:p w14:paraId="394D1A69" w14:textId="77777777" w:rsidR="00D040EA" w:rsidRDefault="00D040EA" w:rsidP="00D040EA">
      <w:pPr>
        <w:pStyle w:val="NormalWeb"/>
        <w:numPr>
          <w:ilvl w:val="0"/>
          <w:numId w:val="14"/>
        </w:numPr>
        <w:spacing w:before="0" w:beforeAutospacing="0"/>
        <w:rPr>
          <w:rFonts w:ascii="Arial" w:hAnsi="Arial" w:cs="Arial"/>
        </w:rPr>
      </w:pPr>
      <w:r>
        <w:rPr>
          <w:rFonts w:ascii="Arial" w:hAnsi="Arial" w:cs="Arial"/>
          <w:b/>
          <w:bCs/>
        </w:rPr>
        <w:t>Referência 4:</w:t>
      </w:r>
      <w:r>
        <w:rPr>
          <w:rFonts w:ascii="Arial" w:hAnsi="Arial" w:cs="Arial"/>
        </w:rPr>
        <w:t xml:space="preserve"> Citação incompleta para revisão sistemática publicada, omitindo nome do periódico, volume e páginas, fornecendo apenas a URL do repositório. </w:t>
      </w:r>
    </w:p>
    <w:p w14:paraId="5DFB0031" w14:textId="77777777" w:rsidR="00D040EA" w:rsidRDefault="00D040EA" w:rsidP="00D040EA">
      <w:pPr>
        <w:pStyle w:val="NormalWeb"/>
        <w:numPr>
          <w:ilvl w:val="0"/>
          <w:numId w:val="14"/>
        </w:numPr>
        <w:spacing w:before="0" w:beforeAutospacing="0"/>
        <w:rPr>
          <w:rFonts w:ascii="Arial" w:hAnsi="Arial" w:cs="Arial"/>
        </w:rPr>
      </w:pPr>
      <w:r>
        <w:rPr>
          <w:rFonts w:ascii="Arial" w:hAnsi="Arial" w:cs="Arial"/>
          <w:b/>
          <w:bCs/>
        </w:rPr>
        <w:t>Referência 7:</w:t>
      </w:r>
      <w:r>
        <w:rPr>
          <w:rFonts w:ascii="Arial" w:hAnsi="Arial" w:cs="Arial"/>
        </w:rPr>
        <w:t xml:space="preserve"> O nome do primeiro autor consta grafado como "Zhang YBin" sem o espaçamento padronizado entre as iniciais ("Y Bin"). </w:t>
      </w:r>
    </w:p>
    <w:p w14:paraId="01432DAC" w14:textId="77777777" w:rsidR="00D040EA" w:rsidRDefault="00D040EA" w:rsidP="00D040EA">
      <w:pPr>
        <w:pStyle w:val="NormalWeb"/>
        <w:numPr>
          <w:ilvl w:val="0"/>
          <w:numId w:val="14"/>
        </w:numPr>
        <w:spacing w:before="0" w:beforeAutospacing="0"/>
        <w:rPr>
          <w:rFonts w:ascii="Arial" w:hAnsi="Arial" w:cs="Arial"/>
        </w:rPr>
      </w:pPr>
      <w:r>
        <w:rPr>
          <w:rFonts w:ascii="Arial" w:hAnsi="Arial" w:cs="Arial"/>
          <w:b/>
          <w:bCs/>
        </w:rPr>
        <w:lastRenderedPageBreak/>
        <w:t>Referência 8:</w:t>
      </w:r>
      <w:r>
        <w:rPr>
          <w:rFonts w:ascii="Arial" w:hAnsi="Arial" w:cs="Arial"/>
        </w:rPr>
        <w:t xml:space="preserve"> Citação incompleta, sem o nome da revista científica e com indicação genérica de site (</w:t>
      </w:r>
      <w:r>
        <w:rPr>
          <w:rStyle w:val="CdigoHTML"/>
          <w:rFonts w:ascii="Arial" w:hAnsi="Arial" w:cs="Arial"/>
        </w:rPr>
        <w:t>[</w:t>
      </w:r>
      <w:proofErr w:type="gramStart"/>
      <w:r>
        <w:rPr>
          <w:rStyle w:val="CdigoHTML"/>
          <w:rFonts w:ascii="Arial" w:hAnsi="Arial" w:cs="Arial"/>
        </w:rPr>
        <w:t>www.pedorthopaedics.com](</w:t>
      </w:r>
      <w:proofErr w:type="gramEnd"/>
      <w:r>
        <w:rPr>
          <w:rStyle w:val="CdigoHTML"/>
          <w:rFonts w:ascii="Arial" w:hAnsi="Arial" w:cs="Arial"/>
        </w:rPr>
        <w:t>https://www.pedorthopaedics.com)</w:t>
      </w:r>
      <w:r>
        <w:rPr>
          <w:rFonts w:ascii="Arial" w:hAnsi="Arial" w:cs="Arial"/>
        </w:rPr>
        <w:t xml:space="preserve">). </w:t>
      </w:r>
    </w:p>
    <w:p w14:paraId="093BD91C" w14:textId="77777777" w:rsidR="00D040EA" w:rsidRDefault="00D040EA" w:rsidP="00D040EA">
      <w:pPr>
        <w:pStyle w:val="NormalWeb"/>
        <w:numPr>
          <w:ilvl w:val="0"/>
          <w:numId w:val="14"/>
        </w:numPr>
        <w:spacing w:before="0" w:beforeAutospacing="0"/>
        <w:rPr>
          <w:rFonts w:ascii="Arial" w:hAnsi="Arial" w:cs="Arial"/>
        </w:rPr>
      </w:pPr>
      <w:r>
        <w:rPr>
          <w:rFonts w:ascii="Arial" w:hAnsi="Arial" w:cs="Arial"/>
          <w:b/>
          <w:bCs/>
        </w:rPr>
        <w:t>Referência 10:</w:t>
      </w:r>
      <w:r>
        <w:rPr>
          <w:rFonts w:ascii="Arial" w:hAnsi="Arial" w:cs="Arial"/>
        </w:rPr>
        <w:t xml:space="preserve"> Título sem pontuação delimitadora antes da interrogação final da frase ("is it really final?"). </w:t>
      </w:r>
    </w:p>
    <w:p w14:paraId="5804AE6F" w14:textId="77777777" w:rsidR="00D040EA" w:rsidRDefault="00D040EA" w:rsidP="00D040EA">
      <w:pPr>
        <w:pStyle w:val="NormalWeb"/>
        <w:spacing w:before="0" w:beforeAutospacing="0"/>
        <w:rPr>
          <w:rFonts w:ascii="Arial" w:hAnsi="Arial" w:cs="Arial"/>
        </w:rPr>
      </w:pPr>
      <w:r>
        <w:rPr>
          <w:rFonts w:ascii="Arial" w:hAnsi="Arial" w:cs="Arial"/>
          <w:b/>
          <w:bCs/>
        </w:rPr>
        <w:t>Metadados para o site</w:t>
      </w:r>
    </w:p>
    <w:p w14:paraId="46A4C48F" w14:textId="77777777" w:rsidR="00D040EA" w:rsidRDefault="00D040EA" w:rsidP="00D040EA">
      <w:pPr>
        <w:pStyle w:val="NormalWeb"/>
        <w:numPr>
          <w:ilvl w:val="0"/>
          <w:numId w:val="15"/>
        </w:numPr>
        <w:spacing w:before="0" w:beforeAutospacing="0"/>
        <w:rPr>
          <w:rFonts w:ascii="Arial" w:hAnsi="Arial" w:cs="Arial"/>
        </w:rPr>
      </w:pPr>
      <w:r>
        <w:rPr>
          <w:rFonts w:ascii="Arial" w:hAnsi="Arial" w:cs="Arial"/>
          <w:b/>
          <w:bCs/>
        </w:rPr>
        <w:t>Título SEO:</w:t>
      </w:r>
      <w:r>
        <w:rPr>
          <w:rFonts w:ascii="Arial" w:hAnsi="Arial" w:cs="Arial"/>
        </w:rPr>
        <w:t xml:space="preserve"> Hastes de Crescimento Tradicionais na Escoliose</w:t>
      </w:r>
    </w:p>
    <w:p w14:paraId="3A157738" w14:textId="77777777" w:rsidR="00D040EA" w:rsidRDefault="00D040EA" w:rsidP="00D040EA">
      <w:pPr>
        <w:pStyle w:val="NormalWeb"/>
        <w:numPr>
          <w:ilvl w:val="0"/>
          <w:numId w:val="15"/>
        </w:numPr>
        <w:spacing w:before="0" w:beforeAutospacing="0"/>
        <w:rPr>
          <w:rFonts w:ascii="Arial" w:hAnsi="Arial" w:cs="Arial"/>
        </w:rPr>
      </w:pPr>
      <w:r>
        <w:rPr>
          <w:rFonts w:ascii="Arial" w:hAnsi="Arial" w:cs="Arial"/>
          <w:b/>
          <w:bCs/>
        </w:rPr>
        <w:t>Meta descrição:</w:t>
      </w:r>
      <w:r>
        <w:rPr>
          <w:rFonts w:ascii="Arial" w:hAnsi="Arial" w:cs="Arial"/>
        </w:rPr>
        <w:t xml:space="preserve"> Conheça a técnica de hastes de crescimento tradicionais para escoliose de início precoce, suas indicações, planejamento e manejo de complicações.</w:t>
      </w:r>
    </w:p>
    <w:p w14:paraId="648B6DF1" w14:textId="77777777" w:rsidR="00D040EA" w:rsidRDefault="00D040EA" w:rsidP="00D040EA">
      <w:pPr>
        <w:pStyle w:val="NormalWeb"/>
        <w:numPr>
          <w:ilvl w:val="0"/>
          <w:numId w:val="15"/>
        </w:numPr>
        <w:spacing w:before="0" w:beforeAutospacing="0"/>
        <w:rPr>
          <w:rFonts w:ascii="Arial" w:hAnsi="Arial" w:cs="Arial"/>
        </w:rPr>
      </w:pPr>
      <w:r>
        <w:rPr>
          <w:rFonts w:ascii="Arial" w:hAnsi="Arial" w:cs="Arial"/>
          <w:b/>
          <w:bCs/>
        </w:rPr>
        <w:t>Resumo de chamada:</w:t>
      </w:r>
      <w:r>
        <w:rPr>
          <w:rFonts w:ascii="Arial" w:hAnsi="Arial" w:cs="Arial"/>
        </w:rPr>
        <w:t xml:space="preserve"> Guia prático sobre hastes de crescimento tradicionais na escoliose de início precoce: indicações, técnica cirúrgica, prevenções de complicações e condutas na maturidade esquelética.</w:t>
      </w:r>
    </w:p>
    <w:p w14:paraId="5405A525" w14:textId="77777777" w:rsidR="00D040EA" w:rsidRDefault="00D040EA" w:rsidP="00D040EA">
      <w:pPr>
        <w:pStyle w:val="NormalWeb"/>
        <w:numPr>
          <w:ilvl w:val="0"/>
          <w:numId w:val="15"/>
        </w:numPr>
        <w:spacing w:before="0" w:beforeAutospacing="0"/>
        <w:rPr>
          <w:rFonts w:ascii="Arial" w:hAnsi="Arial" w:cs="Arial"/>
        </w:rPr>
      </w:pPr>
      <w:r>
        <w:rPr>
          <w:rFonts w:ascii="Arial" w:hAnsi="Arial" w:cs="Arial"/>
          <w:b/>
          <w:bCs/>
        </w:rPr>
        <w:t>Sugestão de slug:</w:t>
      </w:r>
      <w:r>
        <w:rPr>
          <w:rFonts w:ascii="Arial" w:hAnsi="Arial" w:cs="Arial"/>
        </w:rPr>
        <w:t xml:space="preserve"> hastes-de-crescimento-tradicionais-escoliose</w:t>
      </w:r>
    </w:p>
    <w:p w14:paraId="2598A3E3"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86E57EC"/>
    <w:multiLevelType w:val="multilevel"/>
    <w:tmpl w:val="5EA8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148E4"/>
    <w:multiLevelType w:val="multilevel"/>
    <w:tmpl w:val="2B62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D0EDF"/>
    <w:multiLevelType w:val="multilevel"/>
    <w:tmpl w:val="76F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4F4E9E"/>
    <w:multiLevelType w:val="multilevel"/>
    <w:tmpl w:val="7E84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E4155"/>
    <w:multiLevelType w:val="multilevel"/>
    <w:tmpl w:val="1A9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C0A8D"/>
    <w:multiLevelType w:val="multilevel"/>
    <w:tmpl w:val="DB1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423FE"/>
    <w:multiLevelType w:val="multilevel"/>
    <w:tmpl w:val="0478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672791">
    <w:abstractNumId w:val="0"/>
  </w:num>
  <w:num w:numId="2" w16cid:durableId="1121218988">
    <w:abstractNumId w:val="1"/>
  </w:num>
  <w:num w:numId="3" w16cid:durableId="861095206">
    <w:abstractNumId w:val="2"/>
  </w:num>
  <w:num w:numId="4" w16cid:durableId="179320445">
    <w:abstractNumId w:val="3"/>
  </w:num>
  <w:num w:numId="5" w16cid:durableId="670185952">
    <w:abstractNumId w:val="4"/>
  </w:num>
  <w:num w:numId="6" w16cid:durableId="2094037712">
    <w:abstractNumId w:val="5"/>
  </w:num>
  <w:num w:numId="7" w16cid:durableId="1362785900">
    <w:abstractNumId w:val="6"/>
  </w:num>
  <w:num w:numId="8" w16cid:durableId="1483501182">
    <w:abstractNumId w:val="7"/>
  </w:num>
  <w:num w:numId="9" w16cid:durableId="437725091">
    <w:abstractNumId w:val="8"/>
  </w:num>
  <w:num w:numId="10" w16cid:durableId="1165709350">
    <w:abstractNumId w:val="14"/>
  </w:num>
  <w:num w:numId="11" w16cid:durableId="1971937756">
    <w:abstractNumId w:val="13"/>
  </w:num>
  <w:num w:numId="12" w16cid:durableId="148718764">
    <w:abstractNumId w:val="12"/>
  </w:num>
  <w:num w:numId="13" w16cid:durableId="764959237">
    <w:abstractNumId w:val="10"/>
  </w:num>
  <w:num w:numId="14" w16cid:durableId="1228882010">
    <w:abstractNumId w:val="9"/>
  </w:num>
  <w:num w:numId="15" w16cid:durableId="1419678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0EA"/>
    <w:rsid w:val="000D7E60"/>
    <w:rsid w:val="002D732D"/>
    <w:rsid w:val="0045079E"/>
    <w:rsid w:val="00461115"/>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040EA"/>
    <w:rsid w:val="00D973F4"/>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D121EC2"/>
  <w15:chartTrackingRefBased/>
  <w15:docId w15:val="{5A2E2F1B-082F-4346-943E-EEFF7D43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D040EA"/>
    <w:pPr>
      <w:spacing w:before="100" w:beforeAutospacing="1" w:after="100" w:afterAutospacing="1"/>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D040EA"/>
    <w:rPr>
      <w:color w:val="0000FF"/>
      <w:u w:val="single"/>
    </w:rPr>
  </w:style>
  <w:style w:type="character" w:styleId="CdigoHTML">
    <w:name w:val="HTML Code"/>
    <w:basedOn w:val="Fontepargpadro"/>
    <w:uiPriority w:val="99"/>
    <w:semiHidden/>
    <w:unhideWhenUsed/>
    <w:rsid w:val="00D040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43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3A%2F%2Fwww.pedorthopaedics.com" TargetMode="External"/><Relationship Id="rId5" Type="http://schemas.openxmlformats.org/officeDocument/2006/relationships/hyperlink" Target="https://www.google.com/search?q=http://links.lww.com/CLINSPINE/A119"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2183</Words>
  <Characters>11792</Characters>
  <Application>Microsoft Office Word</Application>
  <DocSecurity>0</DocSecurity>
  <Lines>98</Lines>
  <Paragraphs>27</Paragraphs>
  <ScaleCrop>false</ScaleCrop>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2026-08-19T21:46:00Z</dcterms:created>
  <dcterms:modified xsi:type="dcterms:W3CDTF">2026-08-19T21:48:00Z</dcterms:modified>
</cp:coreProperties>
</file>