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9C307C" w14:textId="77777777" w:rsidR="00A02E51" w:rsidRDefault="00A02E51" w:rsidP="00A02E51">
      <w:p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Capítulo 88</w:t>
      </w:r>
      <w:r w:rsidRPr="00A02E51">
        <w:rPr>
          <w:rFonts w:ascii="Arial" w:eastAsia="Times New Roman" w:hAnsi="Arial" w:cs="Arial"/>
          <w:color w:val="1F1F1F"/>
          <w:kern w:val="0"/>
          <w14:ligatures w14:val="none"/>
        </w:rPr>
        <w:t xml:space="preserve"> </w:t>
      </w:r>
    </w:p>
    <w:p w14:paraId="2ED794F8" w14:textId="77777777" w:rsidR="00A02E51" w:rsidRDefault="00A02E51" w:rsidP="00A02E51">
      <w:pPr>
        <w:spacing w:after="0" w:line="240" w:lineRule="auto"/>
        <w:rPr>
          <w:rFonts w:ascii="Arial" w:eastAsia="Times New Roman" w:hAnsi="Arial" w:cs="Arial"/>
          <w:color w:val="1F1F1F"/>
          <w:kern w:val="0"/>
          <w14:ligatures w14:val="none"/>
        </w:rPr>
      </w:pPr>
    </w:p>
    <w:p w14:paraId="465C4264" w14:textId="65FCD07F" w:rsidR="00A02E51" w:rsidRPr="00A02E51" w:rsidRDefault="00A02E51" w:rsidP="00A02E51">
      <w:pPr>
        <w:spacing w:after="0" w:line="240" w:lineRule="auto"/>
        <w:rPr>
          <w:rFonts w:ascii="Arial" w:eastAsia="Times New Roman" w:hAnsi="Arial" w:cs="Arial"/>
          <w:color w:val="1F1F1F"/>
          <w:kern w:val="0"/>
          <w14:ligatures w14:val="none"/>
        </w:rPr>
      </w:pPr>
      <w:r w:rsidRPr="00A02E51">
        <w:rPr>
          <w:rFonts w:ascii="Arial" w:eastAsia="Times New Roman" w:hAnsi="Arial" w:cs="Arial"/>
          <w:b/>
          <w:bCs/>
          <w:color w:val="1F1F1F"/>
          <w:kern w:val="0"/>
          <w:bdr w:val="none" w:sz="0" w:space="0" w:color="auto" w:frame="1"/>
          <w14:ligatures w14:val="none"/>
        </w:rPr>
        <w:t>Número do capítulo:</w:t>
      </w:r>
      <w:r w:rsidRPr="00A02E51">
        <w:rPr>
          <w:rFonts w:ascii="Arial" w:eastAsia="Times New Roman" w:hAnsi="Arial" w:cs="Arial"/>
          <w:color w:val="1F1F1F"/>
          <w:kern w:val="0"/>
          <w:bdr w:val="none" w:sz="0" w:space="0" w:color="auto" w:frame="1"/>
          <w14:ligatures w14:val="none"/>
        </w:rPr>
        <w:t xml:space="preserve"> Capítulo 88</w:t>
      </w:r>
      <w:r w:rsidRPr="00A02E51">
        <w:rPr>
          <w:rFonts w:ascii="Arial" w:eastAsia="Times New Roman" w:hAnsi="Arial" w:cs="Arial"/>
          <w:color w:val="1F1F1F"/>
          <w:kern w:val="0"/>
          <w14:ligatures w14:val="none"/>
        </w:rPr>
        <w:t xml:space="preserve"> </w:t>
      </w:r>
    </w:p>
    <w:p w14:paraId="5C6BC1A1" w14:textId="77777777" w:rsidR="00A02E51" w:rsidRPr="00A02E51" w:rsidRDefault="00A02E51" w:rsidP="00A02E51">
      <w:pPr>
        <w:spacing w:after="0" w:line="240" w:lineRule="auto"/>
        <w:rPr>
          <w:rFonts w:ascii="Arial" w:eastAsia="Times New Roman" w:hAnsi="Arial" w:cs="Arial"/>
          <w:color w:val="1F1F1F"/>
          <w:kern w:val="0"/>
          <w14:ligatures w14:val="none"/>
        </w:rPr>
      </w:pPr>
    </w:p>
    <w:p w14:paraId="2CF02C62" w14:textId="77777777" w:rsidR="00A02E51" w:rsidRPr="00A02E51" w:rsidRDefault="00A02E51" w:rsidP="00A02E51">
      <w:pPr>
        <w:spacing w:after="0" w:line="240" w:lineRule="auto"/>
        <w:rPr>
          <w:rFonts w:ascii="Arial" w:eastAsia="Times New Roman" w:hAnsi="Arial" w:cs="Arial"/>
          <w:color w:val="1F1F1F"/>
          <w:kern w:val="0"/>
          <w14:ligatures w14:val="none"/>
        </w:rPr>
      </w:pPr>
      <w:r w:rsidRPr="00A02E51">
        <w:rPr>
          <w:rFonts w:ascii="Arial" w:eastAsia="Times New Roman" w:hAnsi="Arial" w:cs="Arial"/>
          <w:b/>
          <w:bCs/>
          <w:color w:val="1F1F1F"/>
          <w:kern w:val="0"/>
          <w:bdr w:val="none" w:sz="0" w:space="0" w:color="auto" w:frame="1"/>
          <w14:ligatures w14:val="none"/>
        </w:rPr>
        <w:t>Título completo:</w:t>
      </w:r>
      <w:r w:rsidRPr="00A02E51">
        <w:rPr>
          <w:rFonts w:ascii="Arial" w:eastAsia="Times New Roman" w:hAnsi="Arial" w:cs="Arial"/>
          <w:color w:val="1F1F1F"/>
          <w:kern w:val="0"/>
          <w:bdr w:val="none" w:sz="0" w:space="0" w:color="auto" w:frame="1"/>
          <w14:ligatures w14:val="none"/>
        </w:rPr>
        <w:t xml:space="preserve"> Vertebrectomia Torácica e Lombar nas Neoplasias</w:t>
      </w:r>
      <w:r w:rsidRPr="00A02E51">
        <w:rPr>
          <w:rFonts w:ascii="Arial" w:eastAsia="Times New Roman" w:hAnsi="Arial" w:cs="Arial"/>
          <w:color w:val="1F1F1F"/>
          <w:kern w:val="0"/>
          <w14:ligatures w14:val="none"/>
        </w:rPr>
        <w:t xml:space="preserve"> </w:t>
      </w:r>
    </w:p>
    <w:p w14:paraId="14E37EDA" w14:textId="77777777" w:rsidR="00A02E51" w:rsidRPr="00A02E51" w:rsidRDefault="00A02E51" w:rsidP="00A02E51">
      <w:pPr>
        <w:spacing w:after="0" w:line="240" w:lineRule="auto"/>
        <w:rPr>
          <w:rFonts w:ascii="Arial" w:eastAsia="Times New Roman" w:hAnsi="Arial" w:cs="Arial"/>
          <w:color w:val="1F1F1F"/>
          <w:kern w:val="0"/>
          <w14:ligatures w14:val="none"/>
        </w:rPr>
      </w:pPr>
    </w:p>
    <w:p w14:paraId="76861D1A" w14:textId="421BC71A" w:rsidR="00A02E51" w:rsidRPr="00A02E51" w:rsidRDefault="00A02E51" w:rsidP="00A02E51">
      <w:pPr>
        <w:spacing w:after="0" w:line="240" w:lineRule="auto"/>
        <w:rPr>
          <w:rFonts w:ascii="Arial" w:eastAsia="Times New Roman" w:hAnsi="Arial" w:cs="Arial"/>
          <w:color w:val="1F1F1F"/>
          <w:kern w:val="0"/>
          <w14:ligatures w14:val="none"/>
        </w:rPr>
      </w:pPr>
      <w:r w:rsidRPr="00A02E51">
        <w:rPr>
          <w:rFonts w:ascii="Arial" w:eastAsia="Times New Roman" w:hAnsi="Arial" w:cs="Arial"/>
          <w:b/>
          <w:bCs/>
          <w:color w:val="1F1F1F"/>
          <w:kern w:val="0"/>
          <w:bdr w:val="none" w:sz="0" w:space="0" w:color="auto" w:frame="1"/>
          <w14:ligatures w14:val="none"/>
        </w:rPr>
        <w:t>Seção do Tratado:</w:t>
      </w:r>
      <w:r w:rsidRPr="00A02E51">
        <w:rPr>
          <w:rFonts w:ascii="Arial" w:eastAsia="Times New Roman" w:hAnsi="Arial" w:cs="Arial"/>
          <w:color w:val="1F1F1F"/>
          <w:kern w:val="0"/>
          <w:bdr w:val="none" w:sz="0" w:space="0" w:color="auto" w:frame="1"/>
          <w14:ligatures w14:val="none"/>
        </w:rPr>
        <w:t xml:space="preserve"> </w:t>
      </w:r>
      <w:r>
        <w:rPr>
          <w:rFonts w:ascii="Arial" w:eastAsia="Times New Roman" w:hAnsi="Arial" w:cs="Arial"/>
          <w:color w:val="1F1F1F"/>
          <w:kern w:val="0"/>
          <w:bdr w:val="none" w:sz="0" w:space="0" w:color="auto" w:frame="1"/>
          <w14:ligatures w14:val="none"/>
        </w:rPr>
        <w:t>8</w:t>
      </w:r>
      <w:r w:rsidRPr="00A02E51">
        <w:rPr>
          <w:rFonts w:ascii="Arial" w:eastAsia="Times New Roman" w:hAnsi="Arial" w:cs="Arial"/>
          <w:color w:val="1F1F1F"/>
          <w:kern w:val="0"/>
          <w14:ligatures w14:val="none"/>
        </w:rPr>
        <w:t xml:space="preserve"> </w:t>
      </w:r>
    </w:p>
    <w:p w14:paraId="12175939" w14:textId="77777777" w:rsidR="00A02E51" w:rsidRPr="00A02E51" w:rsidRDefault="00A02E51" w:rsidP="00A02E51">
      <w:pPr>
        <w:spacing w:after="0" w:line="240" w:lineRule="auto"/>
        <w:rPr>
          <w:rFonts w:ascii="Arial" w:eastAsia="Times New Roman" w:hAnsi="Arial" w:cs="Arial"/>
          <w:color w:val="1F1F1F"/>
          <w:kern w:val="0"/>
          <w14:ligatures w14:val="none"/>
        </w:rPr>
      </w:pPr>
    </w:p>
    <w:p w14:paraId="24C68D0A" w14:textId="77777777" w:rsidR="00A02E51" w:rsidRPr="00A02E51" w:rsidRDefault="00A02E51" w:rsidP="00A02E51">
      <w:pPr>
        <w:spacing w:after="0" w:line="240" w:lineRule="auto"/>
        <w:rPr>
          <w:rFonts w:ascii="Arial" w:eastAsia="Times New Roman" w:hAnsi="Arial" w:cs="Arial"/>
          <w:color w:val="1F1F1F"/>
          <w:kern w:val="0"/>
          <w14:ligatures w14:val="none"/>
        </w:rPr>
      </w:pPr>
      <w:r w:rsidRPr="00A02E51">
        <w:rPr>
          <w:rFonts w:ascii="Arial" w:eastAsia="Times New Roman" w:hAnsi="Arial" w:cs="Arial"/>
          <w:b/>
          <w:bCs/>
          <w:color w:val="1F1F1F"/>
          <w:kern w:val="0"/>
          <w:bdr w:val="none" w:sz="0" w:space="0" w:color="auto" w:frame="1"/>
          <w14:ligatures w14:val="none"/>
        </w:rPr>
        <w:t>Autores:</w:t>
      </w:r>
      <w:r w:rsidRPr="00A02E51">
        <w:rPr>
          <w:rFonts w:ascii="Arial" w:eastAsia="Times New Roman" w:hAnsi="Arial" w:cs="Arial"/>
          <w:color w:val="1F1F1F"/>
          <w:kern w:val="0"/>
          <w:bdr w:val="none" w:sz="0" w:space="0" w:color="auto" w:frame="1"/>
          <w14:ligatures w14:val="none"/>
        </w:rPr>
        <w:t xml:space="preserve"> Ricardo de Souza Portes Meirelles, Christiano Esteves Simões, Gustavo Borges Laurindo de Azevedo, Paulo José Silva Ramos, Vinicius Tapie Guerra e Silva, Alessandro Gasbarrini, Otávio Vitório Alvarenga Pereira e Chiara Cini.</w:t>
      </w:r>
      <w:r w:rsidRPr="00A02E51">
        <w:rPr>
          <w:rFonts w:ascii="Arial" w:eastAsia="Times New Roman" w:hAnsi="Arial" w:cs="Arial"/>
          <w:color w:val="1F1F1F"/>
          <w:kern w:val="0"/>
          <w14:ligatures w14:val="none"/>
        </w:rPr>
        <w:t xml:space="preserve"> </w:t>
      </w:r>
    </w:p>
    <w:p w14:paraId="701D8E59" w14:textId="77777777" w:rsidR="00A02E51" w:rsidRPr="00A02E51" w:rsidRDefault="00A02E51" w:rsidP="00A02E51">
      <w:pPr>
        <w:spacing w:after="0" w:line="240" w:lineRule="auto"/>
        <w:rPr>
          <w:rFonts w:ascii="Arial" w:eastAsia="Times New Roman" w:hAnsi="Arial" w:cs="Arial"/>
          <w:color w:val="1F1F1F"/>
          <w:kern w:val="0"/>
          <w14:ligatures w14:val="none"/>
        </w:rPr>
      </w:pPr>
    </w:p>
    <w:p w14:paraId="38EAE4BE" w14:textId="77777777" w:rsidR="00A02E51" w:rsidRPr="00A02E51" w:rsidRDefault="00A02E51" w:rsidP="00A02E51">
      <w:pPr>
        <w:spacing w:after="0" w:line="240" w:lineRule="auto"/>
        <w:rPr>
          <w:rFonts w:ascii="Arial" w:eastAsia="Times New Roman" w:hAnsi="Arial" w:cs="Arial"/>
          <w:color w:val="1F1F1F"/>
          <w:kern w:val="0"/>
          <w14:ligatures w14:val="none"/>
        </w:rPr>
      </w:pPr>
      <w:r w:rsidRPr="00A02E51">
        <w:rPr>
          <w:rFonts w:ascii="Arial" w:eastAsia="Times New Roman" w:hAnsi="Arial" w:cs="Arial"/>
          <w:b/>
          <w:bCs/>
          <w:color w:val="1F1F1F"/>
          <w:kern w:val="0"/>
          <w:bdr w:val="none" w:sz="0" w:space="0" w:color="auto" w:frame="1"/>
          <w14:ligatures w14:val="none"/>
        </w:rPr>
        <w:t>Contexto</w:t>
      </w:r>
    </w:p>
    <w:p w14:paraId="265622F8" w14:textId="77777777" w:rsidR="00A02E51" w:rsidRPr="00A02E51" w:rsidRDefault="00A02E51" w:rsidP="00A02E51">
      <w:pPr>
        <w:spacing w:after="0" w:line="240" w:lineRule="auto"/>
        <w:rPr>
          <w:rFonts w:ascii="Arial" w:eastAsia="Times New Roman" w:hAnsi="Arial" w:cs="Arial"/>
          <w:color w:val="1F1F1F"/>
          <w:kern w:val="0"/>
          <w14:ligatures w14:val="none"/>
        </w:rPr>
      </w:pPr>
    </w:p>
    <w:p w14:paraId="518844AE" w14:textId="77777777" w:rsidR="00A02E51" w:rsidRPr="00A02E51" w:rsidRDefault="00A02E51" w:rsidP="00A02E51">
      <w:p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A vertebrectomia torácica e lombar em oncologia espinhal é um procedimento cirúrgico de extrema complexidade e alta exigência técnica, voltado ao tratamento de lesões tumorais primárias malignas, tumores benignos agressivos e metástases espinhais solitárias. O acometimento neoplásico da coluna vertebral acarreta instabilidade biomecânica, dor mecânica grave, fraturas patológicas e compressão de estruturas neurológicas, afetando drasticamente a funcionalidade do paciente. Os principais desafios cirúrgicos envolvem a execução de ressecções com margens adequadas enquanto se preservam as estruturas vasculares e neurais adjacentes, além de gerenciar a expressiva morbidade e o elevado risco de sangramento intraoperatório. Nesse cenário, o procedimento busca proporcionar o controle tumoral local, o alívio sustentado da dor e a preservação ou recuperação do status neurológico. A correta seleção dos candidatos, amparada por uma abordagem multidisciplinar e avaliação rigorosa da expectativa de vida e do status funcional, é determinante para equilibrar a magnitude do ato cirúrgico com os benefícios clínicos esperados, permitindo taxas de sobrevida global satisfatórias e ganho em qualidade de vida.</w:t>
      </w:r>
      <w:r w:rsidRPr="00A02E51">
        <w:rPr>
          <w:rFonts w:ascii="Arial" w:eastAsia="Times New Roman" w:hAnsi="Arial" w:cs="Arial"/>
          <w:color w:val="1F1F1F"/>
          <w:kern w:val="0"/>
          <w14:ligatures w14:val="none"/>
        </w:rPr>
        <w:t xml:space="preserve"> </w:t>
      </w:r>
    </w:p>
    <w:p w14:paraId="73BFB713" w14:textId="77777777" w:rsidR="00A02E51" w:rsidRPr="00A02E51" w:rsidRDefault="00A02E51" w:rsidP="00A02E51">
      <w:pPr>
        <w:spacing w:after="0" w:line="240" w:lineRule="auto"/>
        <w:rPr>
          <w:rFonts w:ascii="Arial" w:eastAsia="Times New Roman" w:hAnsi="Arial" w:cs="Arial"/>
          <w:color w:val="1F1F1F"/>
          <w:kern w:val="0"/>
          <w14:ligatures w14:val="none"/>
        </w:rPr>
      </w:pPr>
    </w:p>
    <w:p w14:paraId="1CDF5B60" w14:textId="77777777" w:rsidR="00A02E51" w:rsidRPr="00A02E51" w:rsidRDefault="00A02E51" w:rsidP="00A02E51">
      <w:pPr>
        <w:spacing w:after="0" w:line="240" w:lineRule="auto"/>
        <w:rPr>
          <w:rFonts w:ascii="Arial" w:eastAsia="Times New Roman" w:hAnsi="Arial" w:cs="Arial"/>
          <w:color w:val="1F1F1F"/>
          <w:kern w:val="0"/>
          <w14:ligatures w14:val="none"/>
        </w:rPr>
      </w:pPr>
      <w:r w:rsidRPr="00A02E51">
        <w:rPr>
          <w:rFonts w:ascii="Arial" w:eastAsia="Times New Roman" w:hAnsi="Arial" w:cs="Arial"/>
          <w:b/>
          <w:bCs/>
          <w:color w:val="1F1F1F"/>
          <w:kern w:val="0"/>
          <w:bdr w:val="none" w:sz="0" w:space="0" w:color="auto" w:frame="1"/>
          <w14:ligatures w14:val="none"/>
        </w:rPr>
        <w:t>Objetivo do capítulo</w:t>
      </w:r>
    </w:p>
    <w:p w14:paraId="3FC134F0" w14:textId="77777777" w:rsidR="00A02E51" w:rsidRPr="00A02E51" w:rsidRDefault="00A02E51" w:rsidP="00A02E51">
      <w:pPr>
        <w:spacing w:after="0" w:line="240" w:lineRule="auto"/>
        <w:rPr>
          <w:rFonts w:ascii="Arial" w:eastAsia="Times New Roman" w:hAnsi="Arial" w:cs="Arial"/>
          <w:color w:val="1F1F1F"/>
          <w:kern w:val="0"/>
          <w14:ligatures w14:val="none"/>
        </w:rPr>
      </w:pPr>
    </w:p>
    <w:p w14:paraId="7218A477" w14:textId="77777777" w:rsidR="00A02E51" w:rsidRPr="00A02E51" w:rsidRDefault="00A02E51" w:rsidP="00A02E51">
      <w:p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O capítulo objetiva capacitar o leitor a compreender as indicações e contraindicações da vertebrectomia torácica e lombar nas neoplasias, dominando o planejamento pré-operatório, o estadiamento cirúrgico e a escolha das vias de acesso. Adicionalmente, visa detalhar os princípios das técnicas de ressecção e reconstrução — incluindo inovações como a técnica de Gasbarrini —, capacitando o especialista a reconhecer, prevenir e manejar complicações perioperatórias graves.</w:t>
      </w:r>
      <w:r w:rsidRPr="00A02E51">
        <w:rPr>
          <w:rFonts w:ascii="Arial" w:eastAsia="Times New Roman" w:hAnsi="Arial" w:cs="Arial"/>
          <w:color w:val="1F1F1F"/>
          <w:kern w:val="0"/>
          <w14:ligatures w14:val="none"/>
        </w:rPr>
        <w:t xml:space="preserve"> </w:t>
      </w:r>
    </w:p>
    <w:p w14:paraId="366A5BCC" w14:textId="77777777" w:rsidR="00A02E51" w:rsidRPr="00A02E51" w:rsidRDefault="00A02E51" w:rsidP="00A02E51">
      <w:pPr>
        <w:spacing w:after="0" w:line="240" w:lineRule="auto"/>
        <w:rPr>
          <w:rFonts w:ascii="Arial" w:eastAsia="Times New Roman" w:hAnsi="Arial" w:cs="Arial"/>
          <w:color w:val="1F1F1F"/>
          <w:kern w:val="0"/>
          <w14:ligatures w14:val="none"/>
        </w:rPr>
      </w:pPr>
    </w:p>
    <w:p w14:paraId="2950709C" w14:textId="77777777" w:rsidR="00A02E51" w:rsidRPr="00A02E51" w:rsidRDefault="00A02E51" w:rsidP="00A02E51">
      <w:pPr>
        <w:spacing w:after="0" w:line="240" w:lineRule="auto"/>
        <w:rPr>
          <w:rFonts w:ascii="Arial" w:eastAsia="Times New Roman" w:hAnsi="Arial" w:cs="Arial"/>
          <w:color w:val="1F1F1F"/>
          <w:kern w:val="0"/>
          <w14:ligatures w14:val="none"/>
        </w:rPr>
      </w:pPr>
      <w:r w:rsidRPr="00A02E51">
        <w:rPr>
          <w:rFonts w:ascii="Arial" w:eastAsia="Times New Roman" w:hAnsi="Arial" w:cs="Arial"/>
          <w:b/>
          <w:bCs/>
          <w:color w:val="1F1F1F"/>
          <w:kern w:val="0"/>
          <w:bdr w:val="none" w:sz="0" w:space="0" w:color="auto" w:frame="1"/>
          <w14:ligatures w14:val="none"/>
        </w:rPr>
        <w:t>Conteúdo principal</w:t>
      </w:r>
    </w:p>
    <w:p w14:paraId="0DFCDFCD" w14:textId="77777777" w:rsidR="00A02E51" w:rsidRPr="00A02E51" w:rsidRDefault="00A02E51" w:rsidP="00A02E51">
      <w:pPr>
        <w:spacing w:after="0" w:line="240" w:lineRule="auto"/>
        <w:rPr>
          <w:rFonts w:ascii="Arial" w:eastAsia="Times New Roman" w:hAnsi="Arial" w:cs="Arial"/>
          <w:color w:val="1F1F1F"/>
          <w:kern w:val="0"/>
          <w14:ligatures w14:val="none"/>
        </w:rPr>
      </w:pPr>
    </w:p>
    <w:p w14:paraId="392267C2" w14:textId="77777777" w:rsidR="00A02E51" w:rsidRPr="00A02E51" w:rsidRDefault="00A02E51" w:rsidP="00A02E51">
      <w:pPr>
        <w:spacing w:after="0" w:line="240" w:lineRule="auto"/>
        <w:rPr>
          <w:rFonts w:ascii="Arial" w:eastAsia="Times New Roman" w:hAnsi="Arial" w:cs="Arial"/>
          <w:color w:val="1F1F1F"/>
          <w:kern w:val="0"/>
          <w14:ligatures w14:val="none"/>
        </w:rPr>
      </w:pPr>
      <w:r w:rsidRPr="00A02E51">
        <w:rPr>
          <w:rFonts w:ascii="Arial" w:eastAsia="Times New Roman" w:hAnsi="Arial" w:cs="Arial"/>
          <w:b/>
          <w:bCs/>
          <w:color w:val="1F1F1F"/>
          <w:kern w:val="0"/>
          <w:bdr w:val="none" w:sz="0" w:space="0" w:color="auto" w:frame="1"/>
          <w14:ligatures w14:val="none"/>
        </w:rPr>
        <w:t>Indicações, Contraindicações e Estadiamento Cirúrgico</w:t>
      </w:r>
    </w:p>
    <w:p w14:paraId="77F33E5D" w14:textId="77777777" w:rsidR="00A02E51" w:rsidRPr="00A02E51" w:rsidRDefault="00A02E51" w:rsidP="00A02E51">
      <w:pPr>
        <w:spacing w:after="0" w:line="240" w:lineRule="auto"/>
        <w:rPr>
          <w:rFonts w:ascii="Arial" w:eastAsia="Times New Roman" w:hAnsi="Arial" w:cs="Arial"/>
          <w:color w:val="1F1F1F"/>
          <w:kern w:val="0"/>
          <w14:ligatures w14:val="none"/>
        </w:rPr>
      </w:pPr>
    </w:p>
    <w:p w14:paraId="49AC5B2A" w14:textId="77777777" w:rsidR="00A02E51" w:rsidRPr="00A02E51" w:rsidRDefault="00A02E51" w:rsidP="00A02E51">
      <w:p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 xml:space="preserve">A vertebrectomia é indicada para tumores malignos primários (como cordomas e sarcomas) buscando ressecção marginal ou ampla; tumores benignos agressivos recorrentes ou refratários (ex.: tumor de células gigantes e osteoblastomas); e </w:t>
      </w:r>
      <w:r w:rsidRPr="00A02E51">
        <w:rPr>
          <w:rFonts w:ascii="Arial" w:eastAsia="Times New Roman" w:hAnsi="Arial" w:cs="Arial"/>
          <w:color w:val="1F1F1F"/>
          <w:kern w:val="0"/>
          <w:bdr w:val="none" w:sz="0" w:space="0" w:color="auto" w:frame="1"/>
          <w14:ligatures w14:val="none"/>
        </w:rPr>
        <w:lastRenderedPageBreak/>
        <w:t>metástases solitárias em pacientes com doença sistêmica controlada e longa expectativa de vida, especialmente lesões radioresistentes. O planejamento utiliza o sistema de estadiamento Weinstein-Boriani-Biagini (WBB), que mapeia a extensão transversal em 12 zonas radiadas e 5 camadas concêntricas (A a E), além dos níveis longitudinais. As contraindicações incluem invasão de estruturas nobres com morbidade proibitiva, fragilidade do paciente, baixa expectativa de vida e antecedente de radioterapia no local operado.</w:t>
      </w:r>
      <w:r w:rsidRPr="00A02E51">
        <w:rPr>
          <w:rFonts w:ascii="Arial" w:eastAsia="Times New Roman" w:hAnsi="Arial" w:cs="Arial"/>
          <w:color w:val="1F1F1F"/>
          <w:kern w:val="0"/>
          <w14:ligatures w14:val="none"/>
        </w:rPr>
        <w:t xml:space="preserve"> </w:t>
      </w:r>
    </w:p>
    <w:p w14:paraId="74322AF4" w14:textId="77777777" w:rsidR="00A02E51" w:rsidRPr="00A02E51" w:rsidRDefault="00A02E51" w:rsidP="00A02E51">
      <w:pPr>
        <w:spacing w:after="0" w:line="240" w:lineRule="auto"/>
        <w:rPr>
          <w:rFonts w:ascii="Arial" w:eastAsia="Times New Roman" w:hAnsi="Arial" w:cs="Arial"/>
          <w:color w:val="1F1F1F"/>
          <w:kern w:val="0"/>
          <w14:ligatures w14:val="none"/>
        </w:rPr>
      </w:pPr>
    </w:p>
    <w:p w14:paraId="43A6C488" w14:textId="77777777" w:rsidR="00A02E51" w:rsidRPr="00A02E51" w:rsidRDefault="00A02E51" w:rsidP="00A02E51">
      <w:pPr>
        <w:spacing w:after="0" w:line="240" w:lineRule="auto"/>
        <w:rPr>
          <w:rFonts w:ascii="Arial" w:eastAsia="Times New Roman" w:hAnsi="Arial" w:cs="Arial"/>
          <w:color w:val="1F1F1F"/>
          <w:kern w:val="0"/>
          <w14:ligatures w14:val="none"/>
        </w:rPr>
      </w:pPr>
      <w:r w:rsidRPr="00A02E51">
        <w:rPr>
          <w:rFonts w:ascii="Arial" w:eastAsia="Times New Roman" w:hAnsi="Arial" w:cs="Arial"/>
          <w:b/>
          <w:bCs/>
          <w:color w:val="1F1F1F"/>
          <w:kern w:val="0"/>
          <w:bdr w:val="none" w:sz="0" w:space="0" w:color="auto" w:frame="1"/>
          <w14:ligatures w14:val="none"/>
        </w:rPr>
        <w:t>Planejamento Pré-operatório, Vias e Embolização</w:t>
      </w:r>
    </w:p>
    <w:p w14:paraId="6FCE72D7" w14:textId="77777777" w:rsidR="00A02E51" w:rsidRPr="00A02E51" w:rsidRDefault="00A02E51" w:rsidP="00A02E51">
      <w:pPr>
        <w:spacing w:after="0" w:line="240" w:lineRule="auto"/>
        <w:rPr>
          <w:rFonts w:ascii="Arial" w:eastAsia="Times New Roman" w:hAnsi="Arial" w:cs="Arial"/>
          <w:color w:val="1F1F1F"/>
          <w:kern w:val="0"/>
          <w14:ligatures w14:val="none"/>
        </w:rPr>
      </w:pPr>
    </w:p>
    <w:p w14:paraId="5E188F59" w14:textId="77777777" w:rsidR="00A02E51" w:rsidRPr="00A02E51" w:rsidRDefault="00A02E51" w:rsidP="00A02E51">
      <w:p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O manejo requer equipe multidisciplinar (com cirurgiões vasculares, torácicos e equipe de terapia intensiva) e disponibilidade de hemoderivados. A embolização pré-operatória (realizada pelo menos 48 horas antes) é recomendada no nível afetado e nos níveis adjacentes (protocolo de três níveis) para lesões hipervasculares, atenuando a perda sanguínea. Deve-se preservar a artéria que irriga a artéria espinhal anterior para evitar isquemia medular. A escolha da via varia: abordagens posteriores ou posterolaterais são preferidas para a coluna torácica superior (T2-T5); para T5-L5, empregam-se vias posteriores puras, anteriores ou combinadas anteroposteriores. Na transição toracolombar (T11-L2), deve-se avaliar a relação anatômica com diafragma, costelas e pleura.</w:t>
      </w:r>
      <w:r w:rsidRPr="00A02E51">
        <w:rPr>
          <w:rFonts w:ascii="Arial" w:eastAsia="Times New Roman" w:hAnsi="Arial" w:cs="Arial"/>
          <w:color w:val="1F1F1F"/>
          <w:kern w:val="0"/>
          <w14:ligatures w14:val="none"/>
        </w:rPr>
        <w:t xml:space="preserve"> </w:t>
      </w:r>
    </w:p>
    <w:p w14:paraId="6F404317" w14:textId="77777777" w:rsidR="00A02E51" w:rsidRPr="00A02E51" w:rsidRDefault="00A02E51" w:rsidP="00A02E51">
      <w:pPr>
        <w:spacing w:after="0" w:line="240" w:lineRule="auto"/>
        <w:rPr>
          <w:rFonts w:ascii="Arial" w:eastAsia="Times New Roman" w:hAnsi="Arial" w:cs="Arial"/>
          <w:color w:val="1F1F1F"/>
          <w:kern w:val="0"/>
          <w14:ligatures w14:val="none"/>
        </w:rPr>
      </w:pPr>
    </w:p>
    <w:p w14:paraId="0F5AA991" w14:textId="77777777" w:rsidR="00A02E51" w:rsidRPr="00A02E51" w:rsidRDefault="00A02E51" w:rsidP="00A02E51">
      <w:pPr>
        <w:spacing w:after="0" w:line="240" w:lineRule="auto"/>
        <w:rPr>
          <w:rFonts w:ascii="Arial" w:eastAsia="Times New Roman" w:hAnsi="Arial" w:cs="Arial"/>
          <w:color w:val="1F1F1F"/>
          <w:kern w:val="0"/>
          <w14:ligatures w14:val="none"/>
        </w:rPr>
      </w:pPr>
      <w:r w:rsidRPr="00A02E51">
        <w:rPr>
          <w:rFonts w:ascii="Arial" w:eastAsia="Times New Roman" w:hAnsi="Arial" w:cs="Arial"/>
          <w:b/>
          <w:bCs/>
          <w:color w:val="1F1F1F"/>
          <w:kern w:val="0"/>
          <w:bdr w:val="none" w:sz="0" w:space="0" w:color="auto" w:frame="1"/>
          <w14:ligatures w14:val="none"/>
        </w:rPr>
        <w:t>Princípios Técnicos de Ressecção e Reconstrução</w:t>
      </w:r>
    </w:p>
    <w:p w14:paraId="2427DBD8" w14:textId="77777777" w:rsidR="00A02E51" w:rsidRPr="00A02E51" w:rsidRDefault="00A02E51" w:rsidP="00A02E51">
      <w:pPr>
        <w:spacing w:after="0" w:line="240" w:lineRule="auto"/>
        <w:rPr>
          <w:rFonts w:ascii="Arial" w:eastAsia="Times New Roman" w:hAnsi="Arial" w:cs="Arial"/>
          <w:color w:val="1F1F1F"/>
          <w:kern w:val="0"/>
          <w14:ligatures w14:val="none"/>
        </w:rPr>
      </w:pPr>
    </w:p>
    <w:p w14:paraId="2829C1D7" w14:textId="77777777" w:rsidR="00A02E51" w:rsidRPr="00A02E51" w:rsidRDefault="00A02E51" w:rsidP="00A02E51">
      <w:p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A cirurgia exige estabilização prévia por instrumentação estendida a pelo menos dois níveis proximais e dois níveis distais. Durante a osteotomia e a corpectomia, utiliza-se suporte com haste provisória contralateral para manter a estabilidade. Os elementos posteriores e os discos intervertebrais adjacentes são liberados, estendendo-se a dissecção no espaço peridural com proteção do saco dural. A reconstrução da coluna anterior emprega cages (gaiolas expansíveis ou fixas) de titânio, polieteretercetona com fibra de carbono (PEEK/CF) ou próteses personalizadas impressas em 3D associadas a enxerto ósseo. Na técnica proposta por Gasbarrini, adiciona-se um aloenxerto semicircular de diáfise femoral congelada no segmento posterior, encaixado entre os processos espinhosos residuais e fixado com bandas sublaminares, visando proteger a dura-máter, prevenir fibrose aderente e otimizar a fusão 360 graus.</w:t>
      </w:r>
      <w:r w:rsidRPr="00A02E51">
        <w:rPr>
          <w:rFonts w:ascii="Arial" w:eastAsia="Times New Roman" w:hAnsi="Arial" w:cs="Arial"/>
          <w:color w:val="1F1F1F"/>
          <w:kern w:val="0"/>
          <w14:ligatures w14:val="none"/>
        </w:rPr>
        <w:t xml:space="preserve"> </w:t>
      </w:r>
    </w:p>
    <w:p w14:paraId="64FE1CCF" w14:textId="77777777" w:rsidR="00A02E51" w:rsidRPr="00A02E51" w:rsidRDefault="00A02E51" w:rsidP="00A02E51">
      <w:pPr>
        <w:spacing w:after="0" w:line="240" w:lineRule="auto"/>
        <w:rPr>
          <w:rFonts w:ascii="Arial" w:eastAsia="Times New Roman" w:hAnsi="Arial" w:cs="Arial"/>
          <w:color w:val="1F1F1F"/>
          <w:kern w:val="0"/>
          <w14:ligatures w14:val="none"/>
        </w:rPr>
      </w:pPr>
    </w:p>
    <w:p w14:paraId="03A42AE3" w14:textId="77777777" w:rsidR="00A02E51" w:rsidRPr="00A02E51" w:rsidRDefault="00A02E51" w:rsidP="00A02E51">
      <w:pPr>
        <w:spacing w:after="0" w:line="240" w:lineRule="auto"/>
        <w:rPr>
          <w:rFonts w:ascii="Arial" w:eastAsia="Times New Roman" w:hAnsi="Arial" w:cs="Arial"/>
          <w:color w:val="1F1F1F"/>
          <w:kern w:val="0"/>
          <w14:ligatures w14:val="none"/>
        </w:rPr>
      </w:pPr>
      <w:r w:rsidRPr="00A02E51">
        <w:rPr>
          <w:rFonts w:ascii="Arial" w:eastAsia="Times New Roman" w:hAnsi="Arial" w:cs="Arial"/>
          <w:b/>
          <w:bCs/>
          <w:color w:val="1F1F1F"/>
          <w:kern w:val="0"/>
          <w:bdr w:val="none" w:sz="0" w:space="0" w:color="auto" w:frame="1"/>
          <w14:ligatures w14:val="none"/>
        </w:rPr>
        <w:t>Resultados e Manejo de Complicações</w:t>
      </w:r>
    </w:p>
    <w:p w14:paraId="4C0DF957" w14:textId="77777777" w:rsidR="00A02E51" w:rsidRPr="00A02E51" w:rsidRDefault="00A02E51" w:rsidP="00A02E51">
      <w:pPr>
        <w:spacing w:after="0" w:line="240" w:lineRule="auto"/>
        <w:rPr>
          <w:rFonts w:ascii="Arial" w:eastAsia="Times New Roman" w:hAnsi="Arial" w:cs="Arial"/>
          <w:color w:val="1F1F1F"/>
          <w:kern w:val="0"/>
          <w14:ligatures w14:val="none"/>
        </w:rPr>
      </w:pPr>
    </w:p>
    <w:p w14:paraId="4F236542" w14:textId="77777777" w:rsidR="00A02E51" w:rsidRPr="00A02E51" w:rsidRDefault="00A02E51" w:rsidP="00A02E51">
      <w:p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 xml:space="preserve">A sobrevida em cinco anos para tumores primários varia entre 51% e 72%, com taxas de recidiva local inferiores a 10% quando obtidas margens livres. Contudo, as taxas de complicações cirúrgicas e necessidade de revisão podem ultrapassar 50%, destacando-se infecções da ferida operatória, complicações pulmonares e falhas biomecânicas da instrumentação. A prevenção de sangramento maciço envolve embolização criteriosa e hipotensão induzida com pressão arterial sistêmica (PAS) entre 80 e 100 mmHg. A preservação neurológica exige dissecção romba cautelosa e limitação da ligadura de artérias segmentares a menos de quatro níveis. Avanços como </w:t>
      </w:r>
      <w:r w:rsidRPr="00A02E51">
        <w:rPr>
          <w:rFonts w:ascii="Arial" w:eastAsia="Times New Roman" w:hAnsi="Arial" w:cs="Arial"/>
          <w:color w:val="1F1F1F"/>
          <w:kern w:val="0"/>
          <w:bdr w:val="none" w:sz="0" w:space="0" w:color="auto" w:frame="1"/>
          <w14:ligatures w14:val="none"/>
        </w:rPr>
        <w:lastRenderedPageBreak/>
        <w:t>a toracoscopia videoassistida (VATS), endoscopia biportal e sistemas robóticos surgem como alternativas para minimizar a morbidade do procedimento.</w:t>
      </w:r>
      <w:r w:rsidRPr="00A02E51">
        <w:rPr>
          <w:rFonts w:ascii="Arial" w:eastAsia="Times New Roman" w:hAnsi="Arial" w:cs="Arial"/>
          <w:color w:val="1F1F1F"/>
          <w:kern w:val="0"/>
          <w14:ligatures w14:val="none"/>
        </w:rPr>
        <w:t xml:space="preserve"> </w:t>
      </w:r>
    </w:p>
    <w:p w14:paraId="1BF068F9" w14:textId="77777777" w:rsidR="00A02E51" w:rsidRPr="00A02E51" w:rsidRDefault="00A02E51" w:rsidP="00A02E51">
      <w:pPr>
        <w:spacing w:after="0" w:line="240" w:lineRule="auto"/>
        <w:rPr>
          <w:rFonts w:ascii="Arial" w:eastAsia="Times New Roman" w:hAnsi="Arial" w:cs="Arial"/>
          <w:color w:val="1F1F1F"/>
          <w:kern w:val="0"/>
          <w14:ligatures w14:val="none"/>
        </w:rPr>
      </w:pPr>
    </w:p>
    <w:p w14:paraId="70F7E3AF" w14:textId="77777777" w:rsidR="00A02E51" w:rsidRPr="00A02E51" w:rsidRDefault="00A02E51" w:rsidP="00A02E51">
      <w:pPr>
        <w:spacing w:after="0" w:line="240" w:lineRule="auto"/>
        <w:rPr>
          <w:rFonts w:ascii="Arial" w:eastAsia="Times New Roman" w:hAnsi="Arial" w:cs="Arial"/>
          <w:color w:val="1F1F1F"/>
          <w:kern w:val="0"/>
          <w14:ligatures w14:val="none"/>
        </w:rPr>
      </w:pPr>
      <w:r w:rsidRPr="00A02E51">
        <w:rPr>
          <w:rFonts w:ascii="Arial" w:eastAsia="Times New Roman" w:hAnsi="Arial" w:cs="Arial"/>
          <w:b/>
          <w:bCs/>
          <w:color w:val="1F1F1F"/>
          <w:kern w:val="0"/>
          <w:bdr w:val="none" w:sz="0" w:space="0" w:color="auto" w:frame="1"/>
          <w14:ligatures w14:val="none"/>
        </w:rPr>
        <w:t>Aplicação clínica</w:t>
      </w:r>
    </w:p>
    <w:p w14:paraId="70E6987F" w14:textId="77777777" w:rsidR="00A02E51" w:rsidRPr="00A02E51" w:rsidRDefault="00A02E51" w:rsidP="00A02E51">
      <w:pPr>
        <w:spacing w:after="0" w:line="240" w:lineRule="auto"/>
        <w:rPr>
          <w:rFonts w:ascii="Arial" w:eastAsia="Times New Roman" w:hAnsi="Arial" w:cs="Arial"/>
          <w:color w:val="1F1F1F"/>
          <w:kern w:val="0"/>
          <w14:ligatures w14:val="none"/>
        </w:rPr>
      </w:pPr>
    </w:p>
    <w:p w14:paraId="59753DF1" w14:textId="77777777" w:rsidR="00A02E51" w:rsidRPr="00A02E51" w:rsidRDefault="00A02E51" w:rsidP="00A02E51">
      <w:p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Os conceitos apresentados guiam a tomada de decisão desde a triagem oncológica inicial até a reabilitação pós-operatória. Na fase avaliativa, a combinação de ressonância magnética e angiotomografia possibilita o estadiamento anatômico pelo sistema WBB, guiando a seleção da via de acesso e a viabilidade do corredor cirúrgico. Clinicamente, a indicação deve equilibrar o controle tumoral com os riscos biomecânicos, sendo crucial rastrear a fragilidade óssea sistêmica e tumoral para planejar estratégias de reforço, como o uso de parafusos pediculares fenestrados cimentados ou amarrias sublaminares.</w:t>
      </w:r>
      <w:r w:rsidRPr="00A02E51">
        <w:rPr>
          <w:rFonts w:ascii="Arial" w:eastAsia="Times New Roman" w:hAnsi="Arial" w:cs="Arial"/>
          <w:color w:val="1F1F1F"/>
          <w:kern w:val="0"/>
          <w14:ligatures w14:val="none"/>
        </w:rPr>
        <w:t xml:space="preserve"> </w:t>
      </w:r>
    </w:p>
    <w:p w14:paraId="01D61F7F" w14:textId="77777777" w:rsidR="00A02E51" w:rsidRPr="00A02E51" w:rsidRDefault="00A02E51" w:rsidP="00A02E51">
      <w:pPr>
        <w:spacing w:after="0" w:line="240" w:lineRule="auto"/>
        <w:rPr>
          <w:rFonts w:ascii="Arial" w:eastAsia="Times New Roman" w:hAnsi="Arial" w:cs="Arial"/>
          <w:color w:val="1F1F1F"/>
          <w:kern w:val="0"/>
          <w14:ligatures w14:val="none"/>
        </w:rPr>
      </w:pPr>
    </w:p>
    <w:p w14:paraId="0E82EF8E" w14:textId="77777777" w:rsidR="00A02E51" w:rsidRPr="00A02E51" w:rsidRDefault="00A02E51" w:rsidP="00A02E51">
      <w:p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Durante a execução, a aplicação rigorosa do protocolo de suporte hemodinâmico, a proteção de grandes vasos por dissecção romba anterior e a monitorização neurológica intraoperatória são medidas indispensáveis de segurança. A decisão sobre o tipo de reconstrução anterior e posterior, alinhada à extensão da fixação (mínimo de dois níveis acima e dois abaixo), é vital para prevenir falhas tardias do implante, cifose progressiva e colapso, especialmente em pacientes com indicação de radioterapia adjuvante. Em situações de cautela, como o histórico de radioterapia prévia ou tumores hipervasculares não embolizados, a intervenção requer extremo cuidado em razão do risco elevado de deiscência de ferida, infecção, hemorragia maciça e lesão isquêmica medular.</w:t>
      </w:r>
      <w:r w:rsidRPr="00A02E51">
        <w:rPr>
          <w:rFonts w:ascii="Arial" w:eastAsia="Times New Roman" w:hAnsi="Arial" w:cs="Arial"/>
          <w:color w:val="1F1F1F"/>
          <w:kern w:val="0"/>
          <w14:ligatures w14:val="none"/>
        </w:rPr>
        <w:t xml:space="preserve"> </w:t>
      </w:r>
    </w:p>
    <w:p w14:paraId="502CD8B4" w14:textId="77777777" w:rsidR="00A02E51" w:rsidRPr="00A02E51" w:rsidRDefault="00A02E51" w:rsidP="00A02E51">
      <w:pPr>
        <w:spacing w:after="0" w:line="240" w:lineRule="auto"/>
        <w:rPr>
          <w:rFonts w:ascii="Arial" w:eastAsia="Times New Roman" w:hAnsi="Arial" w:cs="Arial"/>
          <w:color w:val="1F1F1F"/>
          <w:kern w:val="0"/>
          <w14:ligatures w14:val="none"/>
        </w:rPr>
      </w:pPr>
    </w:p>
    <w:p w14:paraId="6382521F" w14:textId="77777777" w:rsidR="00A02E51" w:rsidRPr="00A02E51" w:rsidRDefault="00A02E51" w:rsidP="00A02E51">
      <w:pPr>
        <w:spacing w:after="0" w:line="240" w:lineRule="auto"/>
        <w:rPr>
          <w:rFonts w:ascii="Arial" w:eastAsia="Times New Roman" w:hAnsi="Arial" w:cs="Arial"/>
          <w:color w:val="1F1F1F"/>
          <w:kern w:val="0"/>
          <w14:ligatures w14:val="none"/>
        </w:rPr>
      </w:pPr>
      <w:r w:rsidRPr="00A02E51">
        <w:rPr>
          <w:rFonts w:ascii="Arial" w:eastAsia="Times New Roman" w:hAnsi="Arial" w:cs="Arial"/>
          <w:b/>
          <w:bCs/>
          <w:color w:val="1F1F1F"/>
          <w:kern w:val="0"/>
          <w:bdr w:val="none" w:sz="0" w:space="0" w:color="auto" w:frame="1"/>
          <w14:ligatures w14:val="none"/>
        </w:rPr>
        <w:t>Mensagem central</w:t>
      </w:r>
    </w:p>
    <w:p w14:paraId="19955C36" w14:textId="77777777" w:rsidR="00A02E51" w:rsidRPr="00A02E51" w:rsidRDefault="00A02E51" w:rsidP="00A02E51">
      <w:pPr>
        <w:spacing w:after="0" w:line="240" w:lineRule="auto"/>
        <w:rPr>
          <w:rFonts w:ascii="Arial" w:eastAsia="Times New Roman" w:hAnsi="Arial" w:cs="Arial"/>
          <w:color w:val="1F1F1F"/>
          <w:kern w:val="0"/>
          <w14:ligatures w14:val="none"/>
        </w:rPr>
      </w:pPr>
    </w:p>
    <w:p w14:paraId="11FF3B24" w14:textId="77777777" w:rsidR="00A02E51" w:rsidRPr="00A02E51" w:rsidRDefault="00A02E51" w:rsidP="00A02E51">
      <w:p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A vertebrectomia torácica e lombar é um procedimento oncologicamente eficaz e altamente complexo que proporciona controle local, alívio da dor e preservação neurológica em pacientes selecionados com neoplasias primárias agressivas ou metástases solitárias. O sucesso terapêutico fundamenta-se no planejamento multidisciplinar, no estadiamento pré-operatório rigoroso pelo sistema WBB, na embolização preventiva e na reconstrução circumferential biomecanicamente estável, minimizando o risco de complicações e falhas de implante.</w:t>
      </w:r>
      <w:r w:rsidRPr="00A02E51">
        <w:rPr>
          <w:rFonts w:ascii="Arial" w:eastAsia="Times New Roman" w:hAnsi="Arial" w:cs="Arial"/>
          <w:color w:val="1F1F1F"/>
          <w:kern w:val="0"/>
          <w14:ligatures w14:val="none"/>
        </w:rPr>
        <w:t xml:space="preserve"> </w:t>
      </w:r>
    </w:p>
    <w:p w14:paraId="078C9E69" w14:textId="77777777" w:rsidR="00A02E51" w:rsidRPr="00A02E51" w:rsidRDefault="00A02E51" w:rsidP="00A02E51">
      <w:pPr>
        <w:spacing w:after="0" w:line="240" w:lineRule="auto"/>
        <w:rPr>
          <w:rFonts w:ascii="Arial" w:eastAsia="Times New Roman" w:hAnsi="Arial" w:cs="Arial"/>
          <w:color w:val="1F1F1F"/>
          <w:kern w:val="0"/>
          <w14:ligatures w14:val="none"/>
        </w:rPr>
      </w:pPr>
    </w:p>
    <w:p w14:paraId="38A5DCD0" w14:textId="77777777" w:rsidR="00A02E51" w:rsidRPr="00A02E51" w:rsidRDefault="00A02E51" w:rsidP="00A02E51">
      <w:pPr>
        <w:spacing w:after="0" w:line="240" w:lineRule="auto"/>
        <w:rPr>
          <w:rFonts w:ascii="Arial" w:eastAsia="Times New Roman" w:hAnsi="Arial" w:cs="Arial"/>
          <w:color w:val="1F1F1F"/>
          <w:kern w:val="0"/>
          <w14:ligatures w14:val="none"/>
        </w:rPr>
      </w:pPr>
      <w:r w:rsidRPr="00A02E51">
        <w:rPr>
          <w:rFonts w:ascii="Arial" w:eastAsia="Times New Roman" w:hAnsi="Arial" w:cs="Arial"/>
          <w:b/>
          <w:bCs/>
          <w:color w:val="1F1F1F"/>
          <w:kern w:val="0"/>
          <w:bdr w:val="none" w:sz="0" w:space="0" w:color="auto" w:frame="1"/>
          <w14:ligatures w14:val="none"/>
        </w:rPr>
        <w:t>Por que este capítulo importa</w:t>
      </w:r>
    </w:p>
    <w:p w14:paraId="4E14FA05" w14:textId="77777777" w:rsidR="00A02E51" w:rsidRPr="00A02E51" w:rsidRDefault="00A02E51" w:rsidP="00A02E51">
      <w:pPr>
        <w:spacing w:after="0" w:line="240" w:lineRule="auto"/>
        <w:rPr>
          <w:rFonts w:ascii="Arial" w:eastAsia="Times New Roman" w:hAnsi="Arial" w:cs="Arial"/>
          <w:color w:val="1F1F1F"/>
          <w:kern w:val="0"/>
          <w14:ligatures w14:val="none"/>
        </w:rPr>
      </w:pPr>
    </w:p>
    <w:p w14:paraId="15C85F38" w14:textId="77777777" w:rsidR="00A02E51" w:rsidRPr="00A02E51" w:rsidRDefault="00A02E51" w:rsidP="00A02E51">
      <w:p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A vertebrectomia representa a fronteira entre o controle cirúrgico curativo e a morbidade catastrófica no tratamento das neoplasias da coluna vertebral. Este capítulo oferece um guia prático e fundamentado para a navegação segura em procedimentos de alta complexidade. Ao integrar o estadiamento cirúrgico de Weinstein-Boriani-Biagini, estratégias avançadas de embolização e técnicas inovadoras de reconstrução circumferential — como a técnica de Gasbarrini —, o texto capacita o especialista a otimizar a tomada de decisão clínica, reduzir taxas de hemorragia e falha biomecânica, protegendo o eixo neural e elevando os padrões de segurança do paciente.</w:t>
      </w:r>
      <w:r w:rsidRPr="00A02E51">
        <w:rPr>
          <w:rFonts w:ascii="Arial" w:eastAsia="Times New Roman" w:hAnsi="Arial" w:cs="Arial"/>
          <w:color w:val="1F1F1F"/>
          <w:kern w:val="0"/>
          <w14:ligatures w14:val="none"/>
        </w:rPr>
        <w:t xml:space="preserve"> </w:t>
      </w:r>
    </w:p>
    <w:p w14:paraId="42F9B32C" w14:textId="77777777" w:rsidR="00A02E51" w:rsidRPr="00A02E51" w:rsidRDefault="00A02E51" w:rsidP="00A02E51">
      <w:pPr>
        <w:spacing w:after="0" w:line="240" w:lineRule="auto"/>
        <w:rPr>
          <w:rFonts w:ascii="Arial" w:eastAsia="Times New Roman" w:hAnsi="Arial" w:cs="Arial"/>
          <w:color w:val="1F1F1F"/>
          <w:kern w:val="0"/>
          <w14:ligatures w14:val="none"/>
        </w:rPr>
      </w:pPr>
    </w:p>
    <w:p w14:paraId="005B71EF" w14:textId="77777777" w:rsidR="00A02E51" w:rsidRPr="00A02E51" w:rsidRDefault="00A02E51" w:rsidP="00A02E51">
      <w:pPr>
        <w:spacing w:after="0" w:line="240" w:lineRule="auto"/>
        <w:rPr>
          <w:rFonts w:ascii="Arial" w:eastAsia="Times New Roman" w:hAnsi="Arial" w:cs="Arial"/>
          <w:color w:val="1F1F1F"/>
          <w:kern w:val="0"/>
          <w14:ligatures w14:val="none"/>
        </w:rPr>
      </w:pPr>
      <w:r w:rsidRPr="00A02E51">
        <w:rPr>
          <w:rFonts w:ascii="Arial" w:eastAsia="Times New Roman" w:hAnsi="Arial" w:cs="Arial"/>
          <w:b/>
          <w:bCs/>
          <w:color w:val="1F1F1F"/>
          <w:kern w:val="0"/>
          <w:bdr w:val="none" w:sz="0" w:space="0" w:color="auto" w:frame="1"/>
          <w14:ligatures w14:val="none"/>
        </w:rPr>
        <w:lastRenderedPageBreak/>
        <w:t>Descritores DeCS e MeSH</w:t>
      </w:r>
    </w:p>
    <w:p w14:paraId="4F2E9439" w14:textId="77777777" w:rsidR="00A02E51" w:rsidRPr="00A02E51" w:rsidRDefault="00A02E51" w:rsidP="00A02E51">
      <w:p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14:ligatures w14:val="none"/>
        </w:rPr>
        <w:br/>
      </w:r>
    </w:p>
    <w:p w14:paraId="48F9239A" w14:textId="77777777" w:rsidR="00A02E51" w:rsidRPr="00A02E51" w:rsidRDefault="00A02E51" w:rsidP="00A02E51">
      <w:pPr>
        <w:numPr>
          <w:ilvl w:val="0"/>
          <w:numId w:val="1"/>
        </w:numPr>
        <w:spacing w:after="0" w:line="240" w:lineRule="auto"/>
        <w:rPr>
          <w:rFonts w:ascii="Arial" w:eastAsia="Times New Roman" w:hAnsi="Arial" w:cs="Arial"/>
          <w:color w:val="1F1F1F"/>
          <w:kern w:val="0"/>
          <w14:ligatures w14:val="none"/>
        </w:rPr>
      </w:pPr>
      <w:r w:rsidRPr="00A02E51">
        <w:rPr>
          <w:rFonts w:ascii="Arial" w:eastAsia="Times New Roman" w:hAnsi="Arial" w:cs="Arial"/>
          <w:b/>
          <w:bCs/>
          <w:color w:val="1F1F1F"/>
          <w:kern w:val="0"/>
          <w:bdr w:val="none" w:sz="0" w:space="0" w:color="auto" w:frame="1"/>
          <w14:ligatures w14:val="none"/>
        </w:rPr>
        <w:t>Descritores DeCS (Português):</w:t>
      </w:r>
    </w:p>
    <w:p w14:paraId="18D7AB75"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r w:rsidRPr="00A02E51">
        <w:rPr>
          <w:rFonts w:ascii="Arial" w:eastAsia="Times New Roman" w:hAnsi="Arial" w:cs="Arial"/>
          <w:color w:val="1F1F1F"/>
          <w:kern w:val="0"/>
          <w14:ligatures w14:val="none"/>
        </w:rPr>
        <w:br/>
      </w:r>
    </w:p>
    <w:p w14:paraId="24D9592F" w14:textId="77777777" w:rsidR="00A02E51" w:rsidRPr="00A02E51" w:rsidRDefault="00A02E51" w:rsidP="00A02E51">
      <w:pPr>
        <w:numPr>
          <w:ilvl w:val="1"/>
          <w:numId w:val="1"/>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Neoplasias da Coluna Vertebral</w:t>
      </w:r>
      <w:r w:rsidRPr="00A02E51">
        <w:rPr>
          <w:rFonts w:ascii="Arial" w:eastAsia="Times New Roman" w:hAnsi="Arial" w:cs="Arial"/>
          <w:color w:val="1F1F1F"/>
          <w:kern w:val="0"/>
          <w14:ligatures w14:val="none"/>
        </w:rPr>
        <w:t xml:space="preserve"> </w:t>
      </w:r>
    </w:p>
    <w:p w14:paraId="413F23F6" w14:textId="77777777" w:rsidR="00A02E51" w:rsidRPr="00A02E51" w:rsidRDefault="00A02E51" w:rsidP="00A02E51">
      <w:pPr>
        <w:spacing w:after="0" w:line="240" w:lineRule="auto"/>
        <w:ind w:left="1440"/>
        <w:rPr>
          <w:rFonts w:ascii="Arial" w:eastAsia="Times New Roman" w:hAnsi="Arial" w:cs="Arial"/>
          <w:color w:val="1F1F1F"/>
          <w:kern w:val="0"/>
          <w14:ligatures w14:val="none"/>
        </w:rPr>
      </w:pPr>
    </w:p>
    <w:p w14:paraId="2E535D93" w14:textId="77777777" w:rsidR="00A02E51" w:rsidRPr="00A02E51" w:rsidRDefault="00A02E51" w:rsidP="00A02E51">
      <w:pPr>
        <w:numPr>
          <w:ilvl w:val="1"/>
          <w:numId w:val="1"/>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Vertebrectomia</w:t>
      </w:r>
      <w:r w:rsidRPr="00A02E51">
        <w:rPr>
          <w:rFonts w:ascii="Arial" w:eastAsia="Times New Roman" w:hAnsi="Arial" w:cs="Arial"/>
          <w:color w:val="1F1F1F"/>
          <w:kern w:val="0"/>
          <w14:ligatures w14:val="none"/>
        </w:rPr>
        <w:t xml:space="preserve"> </w:t>
      </w:r>
    </w:p>
    <w:p w14:paraId="4F3995A3" w14:textId="77777777" w:rsidR="00A02E51" w:rsidRPr="00A02E51" w:rsidRDefault="00A02E51" w:rsidP="00A02E51">
      <w:pPr>
        <w:spacing w:after="0" w:line="240" w:lineRule="auto"/>
        <w:ind w:left="1440"/>
        <w:rPr>
          <w:rFonts w:ascii="Arial" w:eastAsia="Times New Roman" w:hAnsi="Arial" w:cs="Arial"/>
          <w:color w:val="1F1F1F"/>
          <w:kern w:val="0"/>
          <w14:ligatures w14:val="none"/>
        </w:rPr>
      </w:pPr>
    </w:p>
    <w:p w14:paraId="6F2E61C2" w14:textId="77777777" w:rsidR="00A02E51" w:rsidRPr="00A02E51" w:rsidRDefault="00A02E51" w:rsidP="00A02E51">
      <w:pPr>
        <w:numPr>
          <w:ilvl w:val="1"/>
          <w:numId w:val="1"/>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Vértebras Torácicas</w:t>
      </w:r>
      <w:r w:rsidRPr="00A02E51">
        <w:rPr>
          <w:rFonts w:ascii="Arial" w:eastAsia="Times New Roman" w:hAnsi="Arial" w:cs="Arial"/>
          <w:color w:val="1F1F1F"/>
          <w:kern w:val="0"/>
          <w14:ligatures w14:val="none"/>
        </w:rPr>
        <w:t xml:space="preserve"> </w:t>
      </w:r>
    </w:p>
    <w:p w14:paraId="61693D9F" w14:textId="77777777" w:rsidR="00A02E51" w:rsidRPr="00A02E51" w:rsidRDefault="00A02E51" w:rsidP="00A02E51">
      <w:pPr>
        <w:spacing w:after="0" w:line="240" w:lineRule="auto"/>
        <w:ind w:left="1440"/>
        <w:rPr>
          <w:rFonts w:ascii="Arial" w:eastAsia="Times New Roman" w:hAnsi="Arial" w:cs="Arial"/>
          <w:color w:val="1F1F1F"/>
          <w:kern w:val="0"/>
          <w14:ligatures w14:val="none"/>
        </w:rPr>
      </w:pPr>
    </w:p>
    <w:p w14:paraId="1D6DD70E" w14:textId="77777777" w:rsidR="00A02E51" w:rsidRPr="00A02E51" w:rsidRDefault="00A02E51" w:rsidP="00A02E51">
      <w:pPr>
        <w:numPr>
          <w:ilvl w:val="1"/>
          <w:numId w:val="1"/>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Vértebras Lombares</w:t>
      </w:r>
      <w:r w:rsidRPr="00A02E51">
        <w:rPr>
          <w:rFonts w:ascii="Arial" w:eastAsia="Times New Roman" w:hAnsi="Arial" w:cs="Arial"/>
          <w:color w:val="1F1F1F"/>
          <w:kern w:val="0"/>
          <w14:ligatures w14:val="none"/>
        </w:rPr>
        <w:t xml:space="preserve"> </w:t>
      </w:r>
    </w:p>
    <w:p w14:paraId="19DFE2D8" w14:textId="77777777" w:rsidR="00A02E51" w:rsidRPr="00A02E51" w:rsidRDefault="00A02E51" w:rsidP="00A02E51">
      <w:pPr>
        <w:spacing w:after="0" w:line="240" w:lineRule="auto"/>
        <w:ind w:left="1440"/>
        <w:rPr>
          <w:rFonts w:ascii="Arial" w:eastAsia="Times New Roman" w:hAnsi="Arial" w:cs="Arial"/>
          <w:color w:val="1F1F1F"/>
          <w:kern w:val="0"/>
          <w14:ligatures w14:val="none"/>
        </w:rPr>
      </w:pPr>
    </w:p>
    <w:p w14:paraId="3D0E3922" w14:textId="77777777" w:rsidR="00A02E51" w:rsidRPr="00A02E51" w:rsidRDefault="00A02E51" w:rsidP="00A02E51">
      <w:pPr>
        <w:numPr>
          <w:ilvl w:val="1"/>
          <w:numId w:val="1"/>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Fusão Espinhal</w:t>
      </w:r>
      <w:r w:rsidRPr="00A02E51">
        <w:rPr>
          <w:rFonts w:ascii="Arial" w:eastAsia="Times New Roman" w:hAnsi="Arial" w:cs="Arial"/>
          <w:color w:val="1F1F1F"/>
          <w:kern w:val="0"/>
          <w14:ligatures w14:val="none"/>
        </w:rPr>
        <w:t xml:space="preserve"> </w:t>
      </w:r>
    </w:p>
    <w:p w14:paraId="65B29DD3" w14:textId="77777777" w:rsidR="00A02E51" w:rsidRPr="00A02E51" w:rsidRDefault="00A02E51" w:rsidP="00A02E51">
      <w:pPr>
        <w:spacing w:after="0" w:line="240" w:lineRule="auto"/>
        <w:ind w:left="1440"/>
        <w:rPr>
          <w:rFonts w:ascii="Arial" w:eastAsia="Times New Roman" w:hAnsi="Arial" w:cs="Arial"/>
          <w:color w:val="1F1F1F"/>
          <w:kern w:val="0"/>
          <w14:ligatures w14:val="none"/>
        </w:rPr>
      </w:pPr>
    </w:p>
    <w:p w14:paraId="105D84A4" w14:textId="77777777" w:rsidR="00A02E51" w:rsidRPr="00A02E51" w:rsidRDefault="00A02E51" w:rsidP="00A02E51">
      <w:pPr>
        <w:numPr>
          <w:ilvl w:val="1"/>
          <w:numId w:val="1"/>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Embolização Terapêutica</w:t>
      </w:r>
      <w:r w:rsidRPr="00A02E51">
        <w:rPr>
          <w:rFonts w:ascii="Arial" w:eastAsia="Times New Roman" w:hAnsi="Arial" w:cs="Arial"/>
          <w:color w:val="1F1F1F"/>
          <w:kern w:val="0"/>
          <w14:ligatures w14:val="none"/>
        </w:rPr>
        <w:t xml:space="preserve"> </w:t>
      </w:r>
    </w:p>
    <w:p w14:paraId="6EB64B03" w14:textId="77777777" w:rsidR="00A02E51" w:rsidRPr="00A02E51" w:rsidRDefault="00A02E51" w:rsidP="00A02E51">
      <w:pPr>
        <w:spacing w:after="0" w:line="240" w:lineRule="auto"/>
        <w:ind w:left="1440"/>
        <w:rPr>
          <w:rFonts w:ascii="Arial" w:eastAsia="Times New Roman" w:hAnsi="Arial" w:cs="Arial"/>
          <w:color w:val="1F1F1F"/>
          <w:kern w:val="0"/>
          <w14:ligatures w14:val="none"/>
        </w:rPr>
      </w:pPr>
    </w:p>
    <w:p w14:paraId="62689E36" w14:textId="77777777" w:rsidR="00A02E51" w:rsidRPr="00A02E51" w:rsidRDefault="00A02E51" w:rsidP="00A02E51">
      <w:pPr>
        <w:numPr>
          <w:ilvl w:val="0"/>
          <w:numId w:val="1"/>
        </w:numPr>
        <w:spacing w:after="0" w:line="240" w:lineRule="auto"/>
        <w:rPr>
          <w:rFonts w:ascii="Arial" w:eastAsia="Times New Roman" w:hAnsi="Arial" w:cs="Arial"/>
          <w:color w:val="1F1F1F"/>
          <w:kern w:val="0"/>
          <w14:ligatures w14:val="none"/>
        </w:rPr>
      </w:pPr>
      <w:r w:rsidRPr="00A02E51">
        <w:rPr>
          <w:rFonts w:ascii="Arial" w:eastAsia="Times New Roman" w:hAnsi="Arial" w:cs="Arial"/>
          <w:b/>
          <w:bCs/>
          <w:color w:val="1F1F1F"/>
          <w:kern w:val="0"/>
          <w:bdr w:val="none" w:sz="0" w:space="0" w:color="auto" w:frame="1"/>
          <w14:ligatures w14:val="none"/>
        </w:rPr>
        <w:t>Descritores MeSH (Inglês):</w:t>
      </w:r>
    </w:p>
    <w:p w14:paraId="628A5BA7"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r w:rsidRPr="00A02E51">
        <w:rPr>
          <w:rFonts w:ascii="Arial" w:eastAsia="Times New Roman" w:hAnsi="Arial" w:cs="Arial"/>
          <w:color w:val="1F1F1F"/>
          <w:kern w:val="0"/>
          <w14:ligatures w14:val="none"/>
        </w:rPr>
        <w:br/>
      </w:r>
    </w:p>
    <w:p w14:paraId="70EAEDEE" w14:textId="77777777" w:rsidR="00A02E51" w:rsidRPr="00A02E51" w:rsidRDefault="00A02E51" w:rsidP="00A02E51">
      <w:pPr>
        <w:numPr>
          <w:ilvl w:val="1"/>
          <w:numId w:val="1"/>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Spinal Neoplasms</w:t>
      </w:r>
      <w:r w:rsidRPr="00A02E51">
        <w:rPr>
          <w:rFonts w:ascii="Arial" w:eastAsia="Times New Roman" w:hAnsi="Arial" w:cs="Arial"/>
          <w:color w:val="1F1F1F"/>
          <w:kern w:val="0"/>
          <w14:ligatures w14:val="none"/>
        </w:rPr>
        <w:t xml:space="preserve"> </w:t>
      </w:r>
    </w:p>
    <w:p w14:paraId="7FB6C29C" w14:textId="77777777" w:rsidR="00A02E51" w:rsidRPr="00A02E51" w:rsidRDefault="00A02E51" w:rsidP="00A02E51">
      <w:pPr>
        <w:spacing w:after="0" w:line="240" w:lineRule="auto"/>
        <w:ind w:left="1440"/>
        <w:rPr>
          <w:rFonts w:ascii="Arial" w:eastAsia="Times New Roman" w:hAnsi="Arial" w:cs="Arial"/>
          <w:color w:val="1F1F1F"/>
          <w:kern w:val="0"/>
          <w14:ligatures w14:val="none"/>
        </w:rPr>
      </w:pPr>
    </w:p>
    <w:p w14:paraId="2154E451" w14:textId="77777777" w:rsidR="00A02E51" w:rsidRPr="00A02E51" w:rsidRDefault="00A02E51" w:rsidP="00A02E51">
      <w:pPr>
        <w:numPr>
          <w:ilvl w:val="1"/>
          <w:numId w:val="1"/>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Spondylectomy</w:t>
      </w:r>
      <w:r w:rsidRPr="00A02E51">
        <w:rPr>
          <w:rFonts w:ascii="Arial" w:eastAsia="Times New Roman" w:hAnsi="Arial" w:cs="Arial"/>
          <w:color w:val="1F1F1F"/>
          <w:kern w:val="0"/>
          <w14:ligatures w14:val="none"/>
        </w:rPr>
        <w:t xml:space="preserve"> </w:t>
      </w:r>
    </w:p>
    <w:p w14:paraId="50C7C4D3" w14:textId="77777777" w:rsidR="00A02E51" w:rsidRPr="00A02E51" w:rsidRDefault="00A02E51" w:rsidP="00A02E51">
      <w:pPr>
        <w:spacing w:after="0" w:line="240" w:lineRule="auto"/>
        <w:ind w:left="1440"/>
        <w:rPr>
          <w:rFonts w:ascii="Arial" w:eastAsia="Times New Roman" w:hAnsi="Arial" w:cs="Arial"/>
          <w:color w:val="1F1F1F"/>
          <w:kern w:val="0"/>
          <w14:ligatures w14:val="none"/>
        </w:rPr>
      </w:pPr>
    </w:p>
    <w:p w14:paraId="1AD6C4D8" w14:textId="77777777" w:rsidR="00A02E51" w:rsidRPr="00A02E51" w:rsidRDefault="00A02E51" w:rsidP="00A02E51">
      <w:pPr>
        <w:numPr>
          <w:ilvl w:val="1"/>
          <w:numId w:val="1"/>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Thoracic Vertebrae</w:t>
      </w:r>
      <w:r w:rsidRPr="00A02E51">
        <w:rPr>
          <w:rFonts w:ascii="Arial" w:eastAsia="Times New Roman" w:hAnsi="Arial" w:cs="Arial"/>
          <w:color w:val="1F1F1F"/>
          <w:kern w:val="0"/>
          <w14:ligatures w14:val="none"/>
        </w:rPr>
        <w:t xml:space="preserve"> </w:t>
      </w:r>
    </w:p>
    <w:p w14:paraId="3C4A656A" w14:textId="77777777" w:rsidR="00A02E51" w:rsidRPr="00A02E51" w:rsidRDefault="00A02E51" w:rsidP="00A02E51">
      <w:pPr>
        <w:spacing w:after="0" w:line="240" w:lineRule="auto"/>
        <w:ind w:left="1440"/>
        <w:rPr>
          <w:rFonts w:ascii="Arial" w:eastAsia="Times New Roman" w:hAnsi="Arial" w:cs="Arial"/>
          <w:color w:val="1F1F1F"/>
          <w:kern w:val="0"/>
          <w14:ligatures w14:val="none"/>
        </w:rPr>
      </w:pPr>
    </w:p>
    <w:p w14:paraId="0D217046" w14:textId="77777777" w:rsidR="00A02E51" w:rsidRPr="00A02E51" w:rsidRDefault="00A02E51" w:rsidP="00A02E51">
      <w:pPr>
        <w:numPr>
          <w:ilvl w:val="1"/>
          <w:numId w:val="1"/>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Lumbar Vertebrae</w:t>
      </w:r>
      <w:r w:rsidRPr="00A02E51">
        <w:rPr>
          <w:rFonts w:ascii="Arial" w:eastAsia="Times New Roman" w:hAnsi="Arial" w:cs="Arial"/>
          <w:color w:val="1F1F1F"/>
          <w:kern w:val="0"/>
          <w14:ligatures w14:val="none"/>
        </w:rPr>
        <w:t xml:space="preserve"> </w:t>
      </w:r>
    </w:p>
    <w:p w14:paraId="56DCDBF6" w14:textId="77777777" w:rsidR="00A02E51" w:rsidRPr="00A02E51" w:rsidRDefault="00A02E51" w:rsidP="00A02E51">
      <w:pPr>
        <w:spacing w:after="0" w:line="240" w:lineRule="auto"/>
        <w:ind w:left="1440"/>
        <w:rPr>
          <w:rFonts w:ascii="Arial" w:eastAsia="Times New Roman" w:hAnsi="Arial" w:cs="Arial"/>
          <w:color w:val="1F1F1F"/>
          <w:kern w:val="0"/>
          <w14:ligatures w14:val="none"/>
        </w:rPr>
      </w:pPr>
    </w:p>
    <w:p w14:paraId="71EF3E7C" w14:textId="77777777" w:rsidR="00A02E51" w:rsidRPr="00A02E51" w:rsidRDefault="00A02E51" w:rsidP="00A02E51">
      <w:pPr>
        <w:numPr>
          <w:ilvl w:val="1"/>
          <w:numId w:val="1"/>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Spinal Fusion</w:t>
      </w:r>
      <w:r w:rsidRPr="00A02E51">
        <w:rPr>
          <w:rFonts w:ascii="Arial" w:eastAsia="Times New Roman" w:hAnsi="Arial" w:cs="Arial"/>
          <w:color w:val="1F1F1F"/>
          <w:kern w:val="0"/>
          <w14:ligatures w14:val="none"/>
        </w:rPr>
        <w:t xml:space="preserve"> </w:t>
      </w:r>
    </w:p>
    <w:p w14:paraId="023D1E40" w14:textId="77777777" w:rsidR="00A02E51" w:rsidRPr="00A02E51" w:rsidRDefault="00A02E51" w:rsidP="00A02E51">
      <w:pPr>
        <w:spacing w:after="0" w:line="240" w:lineRule="auto"/>
        <w:ind w:left="1440"/>
        <w:rPr>
          <w:rFonts w:ascii="Arial" w:eastAsia="Times New Roman" w:hAnsi="Arial" w:cs="Arial"/>
          <w:color w:val="1F1F1F"/>
          <w:kern w:val="0"/>
          <w14:ligatures w14:val="none"/>
        </w:rPr>
      </w:pPr>
    </w:p>
    <w:p w14:paraId="7DBE32D2" w14:textId="77777777" w:rsidR="00A02E51" w:rsidRPr="00A02E51" w:rsidRDefault="00A02E51" w:rsidP="00A02E51">
      <w:pPr>
        <w:numPr>
          <w:ilvl w:val="1"/>
          <w:numId w:val="1"/>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Therapeutic Embolization</w:t>
      </w:r>
      <w:r w:rsidRPr="00A02E51">
        <w:rPr>
          <w:rFonts w:ascii="Arial" w:eastAsia="Times New Roman" w:hAnsi="Arial" w:cs="Arial"/>
          <w:color w:val="1F1F1F"/>
          <w:kern w:val="0"/>
          <w14:ligatures w14:val="none"/>
        </w:rPr>
        <w:t xml:space="preserve"> </w:t>
      </w:r>
    </w:p>
    <w:p w14:paraId="04B09DA1" w14:textId="77777777" w:rsidR="00A02E51" w:rsidRPr="00A02E51" w:rsidRDefault="00A02E51" w:rsidP="00A02E51">
      <w:pPr>
        <w:spacing w:after="0" w:line="240" w:lineRule="auto"/>
        <w:ind w:left="1440"/>
        <w:rPr>
          <w:rFonts w:ascii="Arial" w:eastAsia="Times New Roman" w:hAnsi="Arial" w:cs="Arial"/>
          <w:color w:val="1F1F1F"/>
          <w:kern w:val="0"/>
          <w14:ligatures w14:val="none"/>
        </w:rPr>
      </w:pPr>
    </w:p>
    <w:p w14:paraId="069BCCC9" w14:textId="77777777" w:rsidR="00A02E51" w:rsidRPr="00A02E51" w:rsidRDefault="00A02E51" w:rsidP="00A02E51">
      <w:pPr>
        <w:numPr>
          <w:ilvl w:val="0"/>
          <w:numId w:val="1"/>
        </w:numPr>
        <w:spacing w:after="0" w:line="240" w:lineRule="auto"/>
        <w:rPr>
          <w:rFonts w:ascii="Arial" w:eastAsia="Times New Roman" w:hAnsi="Arial" w:cs="Arial"/>
          <w:color w:val="1F1F1F"/>
          <w:kern w:val="0"/>
          <w14:ligatures w14:val="none"/>
        </w:rPr>
      </w:pPr>
      <w:r w:rsidRPr="00A02E51">
        <w:rPr>
          <w:rFonts w:ascii="Arial" w:eastAsia="Times New Roman" w:hAnsi="Arial" w:cs="Arial"/>
          <w:b/>
          <w:bCs/>
          <w:color w:val="1F1F1F"/>
          <w:kern w:val="0"/>
          <w:bdr w:val="none" w:sz="0" w:space="0" w:color="auto" w:frame="1"/>
          <w14:ligatures w14:val="none"/>
        </w:rPr>
        <w:t>Palavras-chave livres:</w:t>
      </w:r>
    </w:p>
    <w:p w14:paraId="220BDD57"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r w:rsidRPr="00A02E51">
        <w:rPr>
          <w:rFonts w:ascii="Arial" w:eastAsia="Times New Roman" w:hAnsi="Arial" w:cs="Arial"/>
          <w:color w:val="1F1F1F"/>
          <w:kern w:val="0"/>
          <w14:ligatures w14:val="none"/>
        </w:rPr>
        <w:br/>
      </w:r>
    </w:p>
    <w:p w14:paraId="3C370D6D" w14:textId="77777777" w:rsidR="00A02E51" w:rsidRPr="00A02E51" w:rsidRDefault="00A02E51" w:rsidP="00A02E51">
      <w:pPr>
        <w:numPr>
          <w:ilvl w:val="1"/>
          <w:numId w:val="1"/>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Sistema WBB</w:t>
      </w:r>
      <w:r w:rsidRPr="00A02E51">
        <w:rPr>
          <w:rFonts w:ascii="Arial" w:eastAsia="Times New Roman" w:hAnsi="Arial" w:cs="Arial"/>
          <w:color w:val="1F1F1F"/>
          <w:kern w:val="0"/>
          <w14:ligatures w14:val="none"/>
        </w:rPr>
        <w:t xml:space="preserve"> </w:t>
      </w:r>
    </w:p>
    <w:p w14:paraId="270AD8A1" w14:textId="77777777" w:rsidR="00A02E51" w:rsidRPr="00A02E51" w:rsidRDefault="00A02E51" w:rsidP="00A02E51">
      <w:pPr>
        <w:spacing w:after="0" w:line="240" w:lineRule="auto"/>
        <w:ind w:left="1440"/>
        <w:rPr>
          <w:rFonts w:ascii="Arial" w:eastAsia="Times New Roman" w:hAnsi="Arial" w:cs="Arial"/>
          <w:color w:val="1F1F1F"/>
          <w:kern w:val="0"/>
          <w14:ligatures w14:val="none"/>
        </w:rPr>
      </w:pPr>
    </w:p>
    <w:p w14:paraId="66255DA5" w14:textId="77777777" w:rsidR="00A02E51" w:rsidRPr="00A02E51" w:rsidRDefault="00A02E51" w:rsidP="00A02E51">
      <w:pPr>
        <w:numPr>
          <w:ilvl w:val="1"/>
          <w:numId w:val="1"/>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Técnica de Gasbarrini</w:t>
      </w:r>
      <w:r w:rsidRPr="00A02E51">
        <w:rPr>
          <w:rFonts w:ascii="Arial" w:eastAsia="Times New Roman" w:hAnsi="Arial" w:cs="Arial"/>
          <w:color w:val="1F1F1F"/>
          <w:kern w:val="0"/>
          <w14:ligatures w14:val="none"/>
        </w:rPr>
        <w:t xml:space="preserve"> </w:t>
      </w:r>
    </w:p>
    <w:p w14:paraId="428675E2" w14:textId="77777777" w:rsidR="00A02E51" w:rsidRPr="00A02E51" w:rsidRDefault="00A02E51" w:rsidP="00A02E51">
      <w:pPr>
        <w:spacing w:after="0" w:line="240" w:lineRule="auto"/>
        <w:ind w:left="1440"/>
        <w:rPr>
          <w:rFonts w:ascii="Arial" w:eastAsia="Times New Roman" w:hAnsi="Arial" w:cs="Arial"/>
          <w:color w:val="1F1F1F"/>
          <w:kern w:val="0"/>
          <w14:ligatures w14:val="none"/>
        </w:rPr>
      </w:pPr>
    </w:p>
    <w:p w14:paraId="3B652B01" w14:textId="77777777" w:rsidR="00A02E51" w:rsidRPr="00A02E51" w:rsidRDefault="00A02E51" w:rsidP="00A02E51">
      <w:pPr>
        <w:numPr>
          <w:ilvl w:val="1"/>
          <w:numId w:val="1"/>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Reconstrução circumferential</w:t>
      </w:r>
      <w:r w:rsidRPr="00A02E51">
        <w:rPr>
          <w:rFonts w:ascii="Arial" w:eastAsia="Times New Roman" w:hAnsi="Arial" w:cs="Arial"/>
          <w:color w:val="1F1F1F"/>
          <w:kern w:val="0"/>
          <w14:ligatures w14:val="none"/>
        </w:rPr>
        <w:t xml:space="preserve"> </w:t>
      </w:r>
    </w:p>
    <w:p w14:paraId="332F9F47" w14:textId="77777777" w:rsidR="00A02E51" w:rsidRPr="00A02E51" w:rsidRDefault="00A02E51" w:rsidP="00A02E51">
      <w:pPr>
        <w:spacing w:after="0" w:line="240" w:lineRule="auto"/>
        <w:ind w:left="1440"/>
        <w:rPr>
          <w:rFonts w:ascii="Arial" w:eastAsia="Times New Roman" w:hAnsi="Arial" w:cs="Arial"/>
          <w:color w:val="1F1F1F"/>
          <w:kern w:val="0"/>
          <w14:ligatures w14:val="none"/>
        </w:rPr>
      </w:pPr>
    </w:p>
    <w:p w14:paraId="44FE3F6F" w14:textId="77777777" w:rsidR="00A02E51" w:rsidRPr="00A02E51" w:rsidRDefault="00A02E51" w:rsidP="00A02E51">
      <w:pPr>
        <w:spacing w:after="0" w:line="240" w:lineRule="auto"/>
        <w:rPr>
          <w:rFonts w:ascii="Arial" w:eastAsia="Times New Roman" w:hAnsi="Arial" w:cs="Arial"/>
          <w:color w:val="1F1F1F"/>
          <w:kern w:val="0"/>
          <w14:ligatures w14:val="none"/>
        </w:rPr>
      </w:pPr>
      <w:r w:rsidRPr="00A02E51">
        <w:rPr>
          <w:rFonts w:ascii="Arial" w:eastAsia="Times New Roman" w:hAnsi="Arial" w:cs="Arial"/>
          <w:b/>
          <w:bCs/>
          <w:color w:val="1F1F1F"/>
          <w:kern w:val="0"/>
          <w:bdr w:val="none" w:sz="0" w:space="0" w:color="auto" w:frame="1"/>
          <w14:ligatures w14:val="none"/>
        </w:rPr>
        <w:t>Três cards de destaque</w:t>
      </w:r>
    </w:p>
    <w:p w14:paraId="68D45A97" w14:textId="77777777" w:rsidR="00A02E51" w:rsidRPr="00A02E51" w:rsidRDefault="00A02E51" w:rsidP="00A02E51">
      <w:pPr>
        <w:spacing w:after="0" w:line="240" w:lineRule="auto"/>
        <w:rPr>
          <w:rFonts w:ascii="Arial" w:eastAsia="Times New Roman" w:hAnsi="Arial" w:cs="Arial"/>
          <w:color w:val="1F1F1F"/>
          <w:kern w:val="0"/>
          <w14:ligatures w14:val="none"/>
        </w:rPr>
      </w:pPr>
    </w:p>
    <w:p w14:paraId="35A447D2" w14:textId="77777777" w:rsidR="00A02E51" w:rsidRPr="00A02E51" w:rsidRDefault="00A02E51" w:rsidP="00A02E51">
      <w:pPr>
        <w:spacing w:after="0" w:line="240" w:lineRule="auto"/>
        <w:rPr>
          <w:rFonts w:ascii="Arial" w:eastAsia="Times New Roman" w:hAnsi="Arial" w:cs="Arial"/>
          <w:color w:val="1F1F1F"/>
          <w:kern w:val="0"/>
          <w14:ligatures w14:val="none"/>
        </w:rPr>
      </w:pPr>
      <w:r w:rsidRPr="00A02E51">
        <w:rPr>
          <w:rFonts w:ascii="Arial" w:eastAsia="Times New Roman" w:hAnsi="Arial" w:cs="Arial"/>
          <w:b/>
          <w:bCs/>
          <w:color w:val="1F1F1F"/>
          <w:kern w:val="0"/>
          <w:bdr w:val="none" w:sz="0" w:space="0" w:color="auto" w:frame="1"/>
          <w14:ligatures w14:val="none"/>
        </w:rPr>
        <w:t>Card 1 — Conceito essencial</w:t>
      </w:r>
    </w:p>
    <w:p w14:paraId="7A640B84" w14:textId="77777777" w:rsidR="00A02E51" w:rsidRPr="00A02E51" w:rsidRDefault="00A02E51" w:rsidP="00A02E51">
      <w:pPr>
        <w:spacing w:after="0" w:line="240" w:lineRule="auto"/>
        <w:rPr>
          <w:rFonts w:ascii="Arial" w:eastAsia="Times New Roman" w:hAnsi="Arial" w:cs="Arial"/>
          <w:color w:val="1F1F1F"/>
          <w:kern w:val="0"/>
          <w14:ligatures w14:val="none"/>
        </w:rPr>
      </w:pPr>
    </w:p>
    <w:p w14:paraId="6B1ACB0D" w14:textId="77777777" w:rsidR="00A02E51" w:rsidRPr="00A02E51" w:rsidRDefault="00A02E51" w:rsidP="00A02E51">
      <w:pPr>
        <w:spacing w:after="0" w:line="240" w:lineRule="auto"/>
        <w:rPr>
          <w:rFonts w:ascii="Arial" w:eastAsia="Times New Roman" w:hAnsi="Arial" w:cs="Arial"/>
          <w:color w:val="1F1F1F"/>
          <w:kern w:val="0"/>
          <w14:ligatures w14:val="none"/>
        </w:rPr>
      </w:pPr>
      <w:r w:rsidRPr="00A02E51">
        <w:rPr>
          <w:rFonts w:ascii="Arial" w:eastAsia="Times New Roman" w:hAnsi="Arial" w:cs="Arial"/>
          <w:b/>
          <w:bCs/>
          <w:color w:val="1F1F1F"/>
          <w:kern w:val="0"/>
          <w:bdr w:val="none" w:sz="0" w:space="0" w:color="auto" w:frame="1"/>
          <w14:ligatures w14:val="none"/>
        </w:rPr>
        <w:lastRenderedPageBreak/>
        <w:t>Sistema WBB e Estadiamento Cirúrgico</w:t>
      </w:r>
    </w:p>
    <w:p w14:paraId="7DEC948D" w14:textId="77777777" w:rsidR="00A02E51" w:rsidRPr="00A02E51" w:rsidRDefault="00A02E51" w:rsidP="00A02E51">
      <w:pPr>
        <w:spacing w:after="0" w:line="240" w:lineRule="auto"/>
        <w:rPr>
          <w:rFonts w:ascii="Arial" w:eastAsia="Times New Roman" w:hAnsi="Arial" w:cs="Arial"/>
          <w:color w:val="1F1F1F"/>
          <w:kern w:val="0"/>
          <w14:ligatures w14:val="none"/>
        </w:rPr>
      </w:pPr>
    </w:p>
    <w:p w14:paraId="780BD589" w14:textId="77777777" w:rsidR="00A02E51" w:rsidRPr="00A02E51" w:rsidRDefault="00A02E51" w:rsidP="00A02E51">
      <w:p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O sistema Weinstein-Boriani-Biagini (WBB) é a ferramenta fundamental para o planejamento cirúrgico das neoplasias espinhais. Ele mapeia a extensão transversal do tumor em 12 zonas radiadas e cinco camadas concêntricas (A a E), além dos níveis longitudinais acometidos. Essa caracterização anatômica precisa orienta a escolha do corredor de acesso, definindo a viabilidade da ressecção em bloco e as margens cirúrgicas adequadas.</w:t>
      </w:r>
      <w:r w:rsidRPr="00A02E51">
        <w:rPr>
          <w:rFonts w:ascii="Arial" w:eastAsia="Times New Roman" w:hAnsi="Arial" w:cs="Arial"/>
          <w:color w:val="1F1F1F"/>
          <w:kern w:val="0"/>
          <w14:ligatures w14:val="none"/>
        </w:rPr>
        <w:t xml:space="preserve"> </w:t>
      </w:r>
    </w:p>
    <w:p w14:paraId="790BF3C2" w14:textId="77777777" w:rsidR="00A02E51" w:rsidRPr="00A02E51" w:rsidRDefault="00A02E51" w:rsidP="00A02E51">
      <w:pPr>
        <w:spacing w:after="0" w:line="240" w:lineRule="auto"/>
        <w:rPr>
          <w:rFonts w:ascii="Arial" w:eastAsia="Times New Roman" w:hAnsi="Arial" w:cs="Arial"/>
          <w:color w:val="1F1F1F"/>
          <w:kern w:val="0"/>
          <w14:ligatures w14:val="none"/>
        </w:rPr>
      </w:pPr>
    </w:p>
    <w:p w14:paraId="5A935794" w14:textId="77777777" w:rsidR="00A02E51" w:rsidRPr="00A02E51" w:rsidRDefault="00A02E51" w:rsidP="00A02E51">
      <w:pPr>
        <w:spacing w:after="0" w:line="240" w:lineRule="auto"/>
        <w:rPr>
          <w:rFonts w:ascii="Arial" w:eastAsia="Times New Roman" w:hAnsi="Arial" w:cs="Arial"/>
          <w:color w:val="1F1F1F"/>
          <w:kern w:val="0"/>
          <w14:ligatures w14:val="none"/>
        </w:rPr>
      </w:pPr>
      <w:r w:rsidRPr="00A02E51">
        <w:rPr>
          <w:rFonts w:ascii="Arial" w:eastAsia="Times New Roman" w:hAnsi="Arial" w:cs="Arial"/>
          <w:b/>
          <w:bCs/>
          <w:color w:val="1F1F1F"/>
          <w:kern w:val="0"/>
          <w:bdr w:val="none" w:sz="0" w:space="0" w:color="auto" w:frame="1"/>
          <w14:ligatures w14:val="none"/>
        </w:rPr>
        <w:t>Card 2 — Decisão clínica</w:t>
      </w:r>
    </w:p>
    <w:p w14:paraId="6193BD94" w14:textId="77777777" w:rsidR="00A02E51" w:rsidRPr="00A02E51" w:rsidRDefault="00A02E51" w:rsidP="00A02E51">
      <w:pPr>
        <w:spacing w:after="0" w:line="240" w:lineRule="auto"/>
        <w:rPr>
          <w:rFonts w:ascii="Arial" w:eastAsia="Times New Roman" w:hAnsi="Arial" w:cs="Arial"/>
          <w:color w:val="1F1F1F"/>
          <w:kern w:val="0"/>
          <w14:ligatures w14:val="none"/>
        </w:rPr>
      </w:pPr>
    </w:p>
    <w:p w14:paraId="7BDCB76B" w14:textId="77777777" w:rsidR="00A02E51" w:rsidRPr="00A02E51" w:rsidRDefault="00A02E51" w:rsidP="00A02E51">
      <w:pPr>
        <w:spacing w:after="0" w:line="240" w:lineRule="auto"/>
        <w:rPr>
          <w:rFonts w:ascii="Arial" w:eastAsia="Times New Roman" w:hAnsi="Arial" w:cs="Arial"/>
          <w:color w:val="1F1F1F"/>
          <w:kern w:val="0"/>
          <w14:ligatures w14:val="none"/>
        </w:rPr>
      </w:pPr>
      <w:r w:rsidRPr="00A02E51">
        <w:rPr>
          <w:rFonts w:ascii="Arial" w:eastAsia="Times New Roman" w:hAnsi="Arial" w:cs="Arial"/>
          <w:b/>
          <w:bCs/>
          <w:color w:val="1F1F1F"/>
          <w:kern w:val="0"/>
          <w:bdr w:val="none" w:sz="0" w:space="0" w:color="auto" w:frame="1"/>
          <w14:ligatures w14:val="none"/>
        </w:rPr>
        <w:t>Protocolo de Embolização e Vascularização</w:t>
      </w:r>
    </w:p>
    <w:p w14:paraId="5D759036" w14:textId="77777777" w:rsidR="00A02E51" w:rsidRPr="00A02E51" w:rsidRDefault="00A02E51" w:rsidP="00A02E51">
      <w:pPr>
        <w:spacing w:after="0" w:line="240" w:lineRule="auto"/>
        <w:rPr>
          <w:rFonts w:ascii="Arial" w:eastAsia="Times New Roman" w:hAnsi="Arial" w:cs="Arial"/>
          <w:color w:val="1F1F1F"/>
          <w:kern w:val="0"/>
          <w14:ligatures w14:val="none"/>
        </w:rPr>
      </w:pPr>
    </w:p>
    <w:p w14:paraId="022A49B4" w14:textId="77777777" w:rsidR="00A02E51" w:rsidRPr="00A02E51" w:rsidRDefault="00A02E51" w:rsidP="00A02E51">
      <w:p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A embolização pré-operatória é recomendada para tumores hipervasculares e deve ser realizada pelo menos 48 horas antes da vertebrectomia. A oclusão do nível afetado e dos níveis adjacentes reduz o sangramento em até 25%. Contudo, é imprescindível identificar e preservar a artéria responsável pela irrigação da artéria espinhal anterior para evitar complicações isquêmicas medulares graves.</w:t>
      </w:r>
      <w:r w:rsidRPr="00A02E51">
        <w:rPr>
          <w:rFonts w:ascii="Arial" w:eastAsia="Times New Roman" w:hAnsi="Arial" w:cs="Arial"/>
          <w:color w:val="1F1F1F"/>
          <w:kern w:val="0"/>
          <w14:ligatures w14:val="none"/>
        </w:rPr>
        <w:t xml:space="preserve"> </w:t>
      </w:r>
    </w:p>
    <w:p w14:paraId="2B5A28F4" w14:textId="77777777" w:rsidR="00A02E51" w:rsidRPr="00A02E51" w:rsidRDefault="00A02E51" w:rsidP="00A02E51">
      <w:pPr>
        <w:spacing w:after="0" w:line="240" w:lineRule="auto"/>
        <w:rPr>
          <w:rFonts w:ascii="Arial" w:eastAsia="Times New Roman" w:hAnsi="Arial" w:cs="Arial"/>
          <w:color w:val="1F1F1F"/>
          <w:kern w:val="0"/>
          <w14:ligatures w14:val="none"/>
        </w:rPr>
      </w:pPr>
    </w:p>
    <w:p w14:paraId="3CE1D2B7" w14:textId="77777777" w:rsidR="00A02E51" w:rsidRPr="00A02E51" w:rsidRDefault="00A02E51" w:rsidP="00A02E51">
      <w:pPr>
        <w:spacing w:after="0" w:line="240" w:lineRule="auto"/>
        <w:rPr>
          <w:rFonts w:ascii="Arial" w:eastAsia="Times New Roman" w:hAnsi="Arial" w:cs="Arial"/>
          <w:color w:val="1F1F1F"/>
          <w:kern w:val="0"/>
          <w14:ligatures w14:val="none"/>
        </w:rPr>
      </w:pPr>
      <w:r w:rsidRPr="00A02E51">
        <w:rPr>
          <w:rFonts w:ascii="Arial" w:eastAsia="Times New Roman" w:hAnsi="Arial" w:cs="Arial"/>
          <w:b/>
          <w:bCs/>
          <w:color w:val="1F1F1F"/>
          <w:kern w:val="0"/>
          <w:bdr w:val="none" w:sz="0" w:space="0" w:color="auto" w:frame="1"/>
          <w14:ligatures w14:val="none"/>
        </w:rPr>
        <w:t>Card 3 — Pérola ou alerta</w:t>
      </w:r>
    </w:p>
    <w:p w14:paraId="3E5D7831" w14:textId="77777777" w:rsidR="00A02E51" w:rsidRPr="00A02E51" w:rsidRDefault="00A02E51" w:rsidP="00A02E51">
      <w:pPr>
        <w:spacing w:after="0" w:line="240" w:lineRule="auto"/>
        <w:rPr>
          <w:rFonts w:ascii="Arial" w:eastAsia="Times New Roman" w:hAnsi="Arial" w:cs="Arial"/>
          <w:color w:val="1F1F1F"/>
          <w:kern w:val="0"/>
          <w14:ligatures w14:val="none"/>
        </w:rPr>
      </w:pPr>
    </w:p>
    <w:p w14:paraId="22D8D51B" w14:textId="77777777" w:rsidR="00A02E51" w:rsidRPr="00A02E51" w:rsidRDefault="00A02E51" w:rsidP="00A02E51">
      <w:pPr>
        <w:spacing w:after="0" w:line="240" w:lineRule="auto"/>
        <w:rPr>
          <w:rFonts w:ascii="Arial" w:eastAsia="Times New Roman" w:hAnsi="Arial" w:cs="Arial"/>
          <w:color w:val="1F1F1F"/>
          <w:kern w:val="0"/>
          <w14:ligatures w14:val="none"/>
        </w:rPr>
      </w:pPr>
      <w:r w:rsidRPr="00A02E51">
        <w:rPr>
          <w:rFonts w:ascii="Arial" w:eastAsia="Times New Roman" w:hAnsi="Arial" w:cs="Arial"/>
          <w:b/>
          <w:bCs/>
          <w:color w:val="1F1F1F"/>
          <w:kern w:val="0"/>
          <w:bdr w:val="none" w:sz="0" w:space="0" w:color="auto" w:frame="1"/>
          <w14:ligatures w14:val="none"/>
        </w:rPr>
        <w:t>Reconstrução de Gasbarrini e Proteção</w:t>
      </w:r>
    </w:p>
    <w:p w14:paraId="73743676" w14:textId="77777777" w:rsidR="00A02E51" w:rsidRPr="00A02E51" w:rsidRDefault="00A02E51" w:rsidP="00A02E51">
      <w:pPr>
        <w:spacing w:after="0" w:line="240" w:lineRule="auto"/>
        <w:rPr>
          <w:rFonts w:ascii="Arial" w:eastAsia="Times New Roman" w:hAnsi="Arial" w:cs="Arial"/>
          <w:color w:val="1F1F1F"/>
          <w:kern w:val="0"/>
          <w14:ligatures w14:val="none"/>
        </w:rPr>
      </w:pPr>
    </w:p>
    <w:p w14:paraId="4C5A3BE9" w14:textId="77777777" w:rsidR="00A02E51" w:rsidRPr="00A02E51" w:rsidRDefault="00A02E51" w:rsidP="00A02E51">
      <w:p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A técnica de Gasbarrini utiliza um aloenxerto femoral congelado semicircular posicionado na coluna posterior, fixado com bandas sublaminares e mantido sob compressão longitudinal. Além de promover a fusão circumferential em 360 graus e a estabilidade biomecânica, o enxerto atua como uma barreira física que protege o saco dural contra cicatrizes aderentes e facilita eventuais cirurgias de revisão ou radioterapia adjuvante.</w:t>
      </w:r>
      <w:r w:rsidRPr="00A02E51">
        <w:rPr>
          <w:rFonts w:ascii="Arial" w:eastAsia="Times New Roman" w:hAnsi="Arial" w:cs="Arial"/>
          <w:color w:val="1F1F1F"/>
          <w:kern w:val="0"/>
          <w14:ligatures w14:val="none"/>
        </w:rPr>
        <w:t xml:space="preserve"> </w:t>
      </w:r>
    </w:p>
    <w:p w14:paraId="3CB93AD4" w14:textId="77777777" w:rsidR="00A02E51" w:rsidRPr="00A02E51" w:rsidRDefault="00A02E51" w:rsidP="00A02E51">
      <w:pPr>
        <w:spacing w:after="0" w:line="240" w:lineRule="auto"/>
        <w:rPr>
          <w:rFonts w:ascii="Arial" w:eastAsia="Times New Roman" w:hAnsi="Arial" w:cs="Arial"/>
          <w:color w:val="1F1F1F"/>
          <w:kern w:val="0"/>
          <w14:ligatures w14:val="none"/>
        </w:rPr>
      </w:pPr>
    </w:p>
    <w:p w14:paraId="2912A10C" w14:textId="77777777" w:rsidR="00A02E51" w:rsidRPr="00A02E51" w:rsidRDefault="00A02E51" w:rsidP="00A02E51">
      <w:pPr>
        <w:spacing w:after="0" w:line="240" w:lineRule="auto"/>
        <w:rPr>
          <w:rFonts w:ascii="Arial" w:eastAsia="Times New Roman" w:hAnsi="Arial" w:cs="Arial"/>
          <w:color w:val="1F1F1F"/>
          <w:kern w:val="0"/>
          <w14:ligatures w14:val="none"/>
        </w:rPr>
      </w:pPr>
      <w:r w:rsidRPr="00A02E51">
        <w:rPr>
          <w:rFonts w:ascii="Arial" w:eastAsia="Times New Roman" w:hAnsi="Arial" w:cs="Arial"/>
          <w:b/>
          <w:bCs/>
          <w:color w:val="1F1F1F"/>
          <w:kern w:val="0"/>
          <w:bdr w:val="none" w:sz="0" w:space="0" w:color="auto" w:frame="1"/>
          <w14:ligatures w14:val="none"/>
        </w:rPr>
        <w:t>Referências bibliográficas</w:t>
      </w:r>
    </w:p>
    <w:p w14:paraId="4AB90E85" w14:textId="77777777" w:rsidR="00A02E51" w:rsidRPr="00A02E51" w:rsidRDefault="00A02E51" w:rsidP="00A02E51">
      <w:p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14:ligatures w14:val="none"/>
        </w:rPr>
        <w:br/>
      </w:r>
    </w:p>
    <w:p w14:paraId="386ED0E5"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Schneider E, Lutschounig MC, Straub J, Vertesich K, Krepler P, Rienmüller A, et al. En Bloc Total Vertebrectomy of the Thoracic and Lumbar Spine. J Clin Med. 2024;13(17):5312.</w:t>
      </w:r>
      <w:r w:rsidRPr="00A02E51">
        <w:rPr>
          <w:rFonts w:ascii="Arial" w:eastAsia="Times New Roman" w:hAnsi="Arial" w:cs="Arial"/>
          <w:color w:val="1F1F1F"/>
          <w:kern w:val="0"/>
          <w14:ligatures w14:val="none"/>
        </w:rPr>
        <w:t xml:space="preserve"> </w:t>
      </w:r>
    </w:p>
    <w:p w14:paraId="0E50AD19"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480D4BA2"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Court C, Boulate D, Missenard G, Mercier O, Fadel E, Bouthors C. Video-Assisted Thoracoscopic En Bloc Vertebrectomy for Spine Tumors. Journal of Bone and Joint Surgery. 2021;103(12):1104-14.</w:t>
      </w:r>
      <w:r w:rsidRPr="00A02E51">
        <w:rPr>
          <w:rFonts w:ascii="Arial" w:eastAsia="Times New Roman" w:hAnsi="Arial" w:cs="Arial"/>
          <w:color w:val="1F1F1F"/>
          <w:kern w:val="0"/>
          <w14:ligatures w14:val="none"/>
        </w:rPr>
        <w:t xml:space="preserve"> </w:t>
      </w:r>
    </w:p>
    <w:p w14:paraId="411B5E7E"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5204DD0B"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Mody GN, Bravo Iñiguez C, Armstrong K, Perez Martinez M, Ferrone M, Bono C, et al. Early Surgical Outcomes of En Bloc Resection Requiring Vertebrectomy for Malignancy Invading the Thoracic Spine. Ann Thorac Surg. 2016;101(1):231-7.</w:t>
      </w:r>
      <w:r w:rsidRPr="00A02E51">
        <w:rPr>
          <w:rFonts w:ascii="Arial" w:eastAsia="Times New Roman" w:hAnsi="Arial" w:cs="Arial"/>
          <w:color w:val="1F1F1F"/>
          <w:kern w:val="0"/>
          <w14:ligatures w14:val="none"/>
        </w:rPr>
        <w:t xml:space="preserve"> </w:t>
      </w:r>
    </w:p>
    <w:p w14:paraId="1FA0BD99"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74965ECF"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lastRenderedPageBreak/>
        <w:t>Gokaslan ZL, York JE, Walsh GL, McCutcheon IE, Lang FF, Putnam JB, et al. Transthoracic vertebrectomy for metastatic spinal tumors. J Neurosurg. 1998;89(4):599-609.</w:t>
      </w:r>
      <w:r w:rsidRPr="00A02E51">
        <w:rPr>
          <w:rFonts w:ascii="Arial" w:eastAsia="Times New Roman" w:hAnsi="Arial" w:cs="Arial"/>
          <w:color w:val="1F1F1F"/>
          <w:kern w:val="0"/>
          <w14:ligatures w14:val="none"/>
        </w:rPr>
        <w:t xml:space="preserve"> </w:t>
      </w:r>
    </w:p>
    <w:p w14:paraId="47C02F4C"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32E35971"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Luzzati A, Conti S, Sperduti I, Scotto Di Uccio A, Mazzoli S, Cannavò L, et al. En-bloc spondylectomy in the lumbar spine: indications, results and complications in a series of 47 patients affected by primary malignant bone tumors. Arch Orthop Trauma Surg. 2024;144(5):2027-38.</w:t>
      </w:r>
      <w:r w:rsidRPr="00A02E51">
        <w:rPr>
          <w:rFonts w:ascii="Arial" w:eastAsia="Times New Roman" w:hAnsi="Arial" w:cs="Arial"/>
          <w:color w:val="1F1F1F"/>
          <w:kern w:val="0"/>
          <w14:ligatures w14:val="none"/>
        </w:rPr>
        <w:t xml:space="preserve"> </w:t>
      </w:r>
    </w:p>
    <w:p w14:paraId="56EB0DEE"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1282410D"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Shah AA, Paulino Pereira NR, Pedlow FX, Wain JC, Yoon SS, Hornicek FJ, et al. Modified En Bloc Spondylectomy for Tumors of the Thoracic and Lumbar Spine. Journal of Bone and Joint Surgery. 2017;99(17):1476-84.</w:t>
      </w:r>
      <w:r w:rsidRPr="00A02E51">
        <w:rPr>
          <w:rFonts w:ascii="Arial" w:eastAsia="Times New Roman" w:hAnsi="Arial" w:cs="Arial"/>
          <w:color w:val="1F1F1F"/>
          <w:kern w:val="0"/>
          <w14:ligatures w14:val="none"/>
        </w:rPr>
        <w:t xml:space="preserve"> </w:t>
      </w:r>
    </w:p>
    <w:p w14:paraId="2A063E2E"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4C8C35DD"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Schneider E, Lutschounig MC, Straub J, Vertesich K, Krepler P, Rienmüller A, et al. En Bloc Total Vertebrectomy of the Thoracic and Lumbar Spine. J Clin Med. 2024;13(17):5312.</w:t>
      </w:r>
      <w:r w:rsidRPr="00A02E51">
        <w:rPr>
          <w:rFonts w:ascii="Arial" w:eastAsia="Times New Roman" w:hAnsi="Arial" w:cs="Arial"/>
          <w:color w:val="1F1F1F"/>
          <w:kern w:val="0"/>
          <w14:ligatures w14:val="none"/>
        </w:rPr>
        <w:t xml:space="preserve"> </w:t>
      </w:r>
    </w:p>
    <w:p w14:paraId="39FB403E"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76DC6602"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Yang P, He X, Li H, Zang Q, Wang G. Therapy for thoracic lumbar and sacral vertebrae tumors using total spondylectomy and spine reconstruction through posterior or combined anterior-posterior approaches. Oncol Lett. 2016;11(3):1778-82.</w:t>
      </w:r>
      <w:r w:rsidRPr="00A02E51">
        <w:rPr>
          <w:rFonts w:ascii="Arial" w:eastAsia="Times New Roman" w:hAnsi="Arial" w:cs="Arial"/>
          <w:color w:val="1F1F1F"/>
          <w:kern w:val="0"/>
          <w14:ligatures w14:val="none"/>
        </w:rPr>
        <w:t xml:space="preserve"> </w:t>
      </w:r>
    </w:p>
    <w:p w14:paraId="0042529E"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0B681C7E"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Court C, Boulate D, Missenard G, Mercier O, Fadel E, Bouthors C. Video-Assisted Thoracoscopic En Bloc Vertebrectomy for Spine Tumors. Journal of Bone and Joint Surgery. 2021;103(12):1104-14.</w:t>
      </w:r>
      <w:r w:rsidRPr="00A02E51">
        <w:rPr>
          <w:rFonts w:ascii="Arial" w:eastAsia="Times New Roman" w:hAnsi="Arial" w:cs="Arial"/>
          <w:color w:val="1F1F1F"/>
          <w:kern w:val="0"/>
          <w14:ligatures w14:val="none"/>
        </w:rPr>
        <w:t xml:space="preserve"> </w:t>
      </w:r>
    </w:p>
    <w:p w14:paraId="3419BDE1"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5A963A1E"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Court C, Boulate D, Missenard G, Mercier O, Fadel E, Bouthors C. Video-Assisted Thoracoscopic En Bloc Vertebrectomy for Spine Tumors. Journal of Bone and Joint Surgery. 2021;103(12):1104-14.</w:t>
      </w:r>
      <w:r w:rsidRPr="00A02E51">
        <w:rPr>
          <w:rFonts w:ascii="Arial" w:eastAsia="Times New Roman" w:hAnsi="Arial" w:cs="Arial"/>
          <w:color w:val="1F1F1F"/>
          <w:kern w:val="0"/>
          <w14:ligatures w14:val="none"/>
        </w:rPr>
        <w:t xml:space="preserve"> </w:t>
      </w:r>
    </w:p>
    <w:p w14:paraId="5040763D"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5404E284"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Beucler N, Farah K, Fuentes S. How I do it: en-bloc thoracic vertebrectomy. Acta Neurochir (Wien). 2024;166(1):350.</w:t>
      </w:r>
      <w:r w:rsidRPr="00A02E51">
        <w:rPr>
          <w:rFonts w:ascii="Arial" w:eastAsia="Times New Roman" w:hAnsi="Arial" w:cs="Arial"/>
          <w:color w:val="1F1F1F"/>
          <w:kern w:val="0"/>
          <w14:ligatures w14:val="none"/>
        </w:rPr>
        <w:t xml:space="preserve"> </w:t>
      </w:r>
    </w:p>
    <w:p w14:paraId="5A72D26B"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01FF455E"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Schneider E, Lutschounig MC, Straub J, Vertesich K, Krepler P, Rienmüller A, et al. En Bloc Total Vertebrectomy of the Thoracic and Lumbar Spine. J Clin Med. 2024;13(17):5312.</w:t>
      </w:r>
      <w:r w:rsidRPr="00A02E51">
        <w:rPr>
          <w:rFonts w:ascii="Arial" w:eastAsia="Times New Roman" w:hAnsi="Arial" w:cs="Arial"/>
          <w:color w:val="1F1F1F"/>
          <w:kern w:val="0"/>
          <w14:ligatures w14:val="none"/>
        </w:rPr>
        <w:t xml:space="preserve"> </w:t>
      </w:r>
    </w:p>
    <w:p w14:paraId="3914C93E"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6D791BCD"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Luzzati A, Conti S, Sperduti I, Scotto Di Uccio A, Mazzoli S, Cannavò L, et al. En-bloc spondylectomy in the lumbar spine: indications, results and complications in a series of 47 patients affected by primary malignant bone tumors. Arch Orthop Trauma Surg. 2024;144(5):2027-38.</w:t>
      </w:r>
      <w:r w:rsidRPr="00A02E51">
        <w:rPr>
          <w:rFonts w:ascii="Arial" w:eastAsia="Times New Roman" w:hAnsi="Arial" w:cs="Arial"/>
          <w:color w:val="1F1F1F"/>
          <w:kern w:val="0"/>
          <w14:ligatures w14:val="none"/>
        </w:rPr>
        <w:t xml:space="preserve"> </w:t>
      </w:r>
    </w:p>
    <w:p w14:paraId="5A2C74DE"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768C49FA"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Schneider E, Lutschounig MC, Straub J, Vertesich K, Krepler P, Rienmüller A, et al. En Bloc Total Vertebrectomy of the Thoracic and Lumbar Spine. J Clin Med. 2024;13(17):5312.</w:t>
      </w:r>
      <w:r w:rsidRPr="00A02E51">
        <w:rPr>
          <w:rFonts w:ascii="Arial" w:eastAsia="Times New Roman" w:hAnsi="Arial" w:cs="Arial"/>
          <w:color w:val="1F1F1F"/>
          <w:kern w:val="0"/>
          <w14:ligatures w14:val="none"/>
        </w:rPr>
        <w:t xml:space="preserve"> </w:t>
      </w:r>
    </w:p>
    <w:p w14:paraId="7EFEFA25"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16CF6716"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lastRenderedPageBreak/>
        <w:t>Shah AA, Paulino Pereira NR, Pedlow FX, Wain JC, Yoon SS, Hornicek FJ, et al. Modified En Bloc Spondylectomy for Tumors of the Thoracic and Lumbar Spine. Journal of Bone and Joint Surgery. 2017;99(17):1476-84.</w:t>
      </w:r>
      <w:r w:rsidRPr="00A02E51">
        <w:rPr>
          <w:rFonts w:ascii="Arial" w:eastAsia="Times New Roman" w:hAnsi="Arial" w:cs="Arial"/>
          <w:color w:val="1F1F1F"/>
          <w:kern w:val="0"/>
          <w14:ligatures w14:val="none"/>
        </w:rPr>
        <w:t xml:space="preserve"> </w:t>
      </w:r>
    </w:p>
    <w:p w14:paraId="2DB28465"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348DE285"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Zhou J, Zhou Y, Qian S, Li X, Lin H, Dong J, et al. Computed Tomography Perfusion Combined With Preoperative Embolization for Reducing Intraoperative Blood Loss in Separation Surgery for Thoracolumbar Metastases. Spine (Phila Pa 1976). 2024;49(12):e183-90.</w:t>
      </w:r>
      <w:r w:rsidRPr="00A02E51">
        <w:rPr>
          <w:rFonts w:ascii="Arial" w:eastAsia="Times New Roman" w:hAnsi="Arial" w:cs="Arial"/>
          <w:color w:val="1F1F1F"/>
          <w:kern w:val="0"/>
          <w14:ligatures w14:val="none"/>
        </w:rPr>
        <w:t xml:space="preserve"> </w:t>
      </w:r>
    </w:p>
    <w:p w14:paraId="4237DB43"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73E37619"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Huang YC, Tsuang FY, Lee CW, Lin YH. Efficacy of preoperative embolization for metastatic spinal tumor surgery using angiographic vascularity assessment. Eur Radiol. 2022;33(4):2638-46.</w:t>
      </w:r>
      <w:r w:rsidRPr="00A02E51">
        <w:rPr>
          <w:rFonts w:ascii="Arial" w:eastAsia="Times New Roman" w:hAnsi="Arial" w:cs="Arial"/>
          <w:color w:val="1F1F1F"/>
          <w:kern w:val="0"/>
          <w14:ligatures w14:val="none"/>
        </w:rPr>
        <w:t xml:space="preserve"> </w:t>
      </w:r>
    </w:p>
    <w:p w14:paraId="78369856"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617F13CD"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Zhang B, Yu H, Zhao X, Cao X, Cao Y, Shi X, et al. Preoperative embolization in the treatment of patients with metastatic epidural spinal cord compression: A retrospective analysis. Front Oncol. 2022;12:1098182.</w:t>
      </w:r>
      <w:r w:rsidRPr="00A02E51">
        <w:rPr>
          <w:rFonts w:ascii="Arial" w:eastAsia="Times New Roman" w:hAnsi="Arial" w:cs="Arial"/>
          <w:color w:val="1F1F1F"/>
          <w:kern w:val="0"/>
          <w14:ligatures w14:val="none"/>
        </w:rPr>
        <w:t xml:space="preserve"> </w:t>
      </w:r>
    </w:p>
    <w:p w14:paraId="6327835A"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7DE6F267"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Gao ZY, Zhang T, Zhang H, Pang CG, Xia Q. Effectiveness of Preoperative Embolization in Patients with Spinal Metastases: A Systematic Review and Meta-Analysis. World Neurosurg. 2021;152:e745-57.</w:t>
      </w:r>
      <w:r w:rsidRPr="00A02E51">
        <w:rPr>
          <w:rFonts w:ascii="Arial" w:eastAsia="Times New Roman" w:hAnsi="Arial" w:cs="Arial"/>
          <w:color w:val="1F1F1F"/>
          <w:kern w:val="0"/>
          <w14:ligatures w14:val="none"/>
        </w:rPr>
        <w:t xml:space="preserve"> </w:t>
      </w:r>
    </w:p>
    <w:p w14:paraId="1FEE4A0A"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139B1569"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Hong CG, Cho JH, Suh DC, Hwang CJ, Lee DH, Lee CS. Preoperative embolization in patients with metastatic spinal cord compression: mandatory or optional? World J Surg Oncol. 2017;15(1):45.</w:t>
      </w:r>
      <w:r w:rsidRPr="00A02E51">
        <w:rPr>
          <w:rFonts w:ascii="Arial" w:eastAsia="Times New Roman" w:hAnsi="Arial" w:cs="Arial"/>
          <w:color w:val="1F1F1F"/>
          <w:kern w:val="0"/>
          <w14:ligatures w14:val="none"/>
        </w:rPr>
        <w:t xml:space="preserve"> </w:t>
      </w:r>
    </w:p>
    <w:p w14:paraId="3F912454"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3E2B736C"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Omid-Fard N, Fisher CG, Heran MK. The evolution of pre-operative spine tumour embolization. Br J Radiol. 2019;92(1100):20180899.</w:t>
      </w:r>
      <w:r w:rsidRPr="00A02E51">
        <w:rPr>
          <w:rFonts w:ascii="Arial" w:eastAsia="Times New Roman" w:hAnsi="Arial" w:cs="Arial"/>
          <w:color w:val="1F1F1F"/>
          <w:kern w:val="0"/>
          <w14:ligatures w14:val="none"/>
        </w:rPr>
        <w:t xml:space="preserve"> </w:t>
      </w:r>
    </w:p>
    <w:p w14:paraId="23F7C5F6"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73722C08"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Polly DW, Chou D, Sembrano JN, Ledonio CGT, Tomita K. An Analysis of Decision Making and Treatment in Thoracolumbar Metastases. Spine (Phila Pa 1976). 2009;34(Supplement):S118-27.</w:t>
      </w:r>
      <w:r w:rsidRPr="00A02E51">
        <w:rPr>
          <w:rFonts w:ascii="Arial" w:eastAsia="Times New Roman" w:hAnsi="Arial" w:cs="Arial"/>
          <w:color w:val="1F1F1F"/>
          <w:kern w:val="0"/>
          <w14:ligatures w14:val="none"/>
        </w:rPr>
        <w:t xml:space="preserve"> </w:t>
      </w:r>
    </w:p>
    <w:p w14:paraId="7E101B8C"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4AFDD899"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Polly DW, Chou D, Sembrano JN, Ledonio CGT, Tomita K. An Analysis of Decision Making and Treatment in Thoracolumbar Metastases. Spine (Phila Pa 1976). 2009;34(Supplement):S118-27.</w:t>
      </w:r>
      <w:r w:rsidRPr="00A02E51">
        <w:rPr>
          <w:rFonts w:ascii="Arial" w:eastAsia="Times New Roman" w:hAnsi="Arial" w:cs="Arial"/>
          <w:color w:val="1F1F1F"/>
          <w:kern w:val="0"/>
          <w14:ligatures w14:val="none"/>
        </w:rPr>
        <w:t xml:space="preserve"> </w:t>
      </w:r>
    </w:p>
    <w:p w14:paraId="076B4079"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38952219"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Xu R, Garcés-Ambrossi GL, McGirt MJ, Witham TF, Wolinsky JP, Bydon A, et al. Thoracic vertebrectomy and spinal reconstruction via anterior, posterior, or combined approaches: clinical outcomes in 91 consecutive patients with metastatic spinal tumors. J Neurosurg Spine. 2009;11(3):272-84.</w:t>
      </w:r>
      <w:r w:rsidRPr="00A02E51">
        <w:rPr>
          <w:rFonts w:ascii="Arial" w:eastAsia="Times New Roman" w:hAnsi="Arial" w:cs="Arial"/>
          <w:color w:val="1F1F1F"/>
          <w:kern w:val="0"/>
          <w14:ligatures w14:val="none"/>
        </w:rPr>
        <w:t xml:space="preserve"> </w:t>
      </w:r>
    </w:p>
    <w:p w14:paraId="4C49DF24"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49023B8C"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Sun JC, Wang JR, Luo T, Jin XN, Ma R, Luo BE, et al. Surgical Incision and Approach in Thoracolumbar Extreme Lateral Interbody Fusion Surgery. Spine (Phila Pa 1976). 2016;41(4):E186-90.</w:t>
      </w:r>
      <w:r w:rsidRPr="00A02E51">
        <w:rPr>
          <w:rFonts w:ascii="Arial" w:eastAsia="Times New Roman" w:hAnsi="Arial" w:cs="Arial"/>
          <w:color w:val="1F1F1F"/>
          <w:kern w:val="0"/>
          <w14:ligatures w14:val="none"/>
        </w:rPr>
        <w:t xml:space="preserve"> </w:t>
      </w:r>
    </w:p>
    <w:p w14:paraId="75B35108"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7B38A4AD"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lastRenderedPageBreak/>
        <w:t>Xu DS, Walker CT, Farber SH, Godzik J, Gandhi SV, Koffie RM, et al. Surgical anatomy of minimally invasive lateral approaches to the thoracolumbar junction. J Neurosurg Spine. 2022;36(6):937-44.</w:t>
      </w:r>
      <w:r w:rsidRPr="00A02E51">
        <w:rPr>
          <w:rFonts w:ascii="Arial" w:eastAsia="Times New Roman" w:hAnsi="Arial" w:cs="Arial"/>
          <w:color w:val="1F1F1F"/>
          <w:kern w:val="0"/>
          <w14:ligatures w14:val="none"/>
        </w:rPr>
        <w:t xml:space="preserve"> </w:t>
      </w:r>
    </w:p>
    <w:p w14:paraId="47127BF4"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2B2A2A44"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Xu R, Garcés-Ambrossi GL, McGirt MJ, Witham TF, Wolinsky JP, Bydon A, et al. Thoracic vertebrectomy and spinal reconstruction via anterior, posterior, or combined approaches: clinical outcomes in 91 consecutive patients with metastatic spinal tumors. J Neurosurg Spine. 2009;11(3):272-84.</w:t>
      </w:r>
      <w:r w:rsidRPr="00A02E51">
        <w:rPr>
          <w:rFonts w:ascii="Arial" w:eastAsia="Times New Roman" w:hAnsi="Arial" w:cs="Arial"/>
          <w:color w:val="1F1F1F"/>
          <w:kern w:val="0"/>
          <w14:ligatures w14:val="none"/>
        </w:rPr>
        <w:t xml:space="preserve"> </w:t>
      </w:r>
    </w:p>
    <w:p w14:paraId="0BA43864"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361404F5"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Glennie RA, Rampersaud YR, Boriani S, Reynolds JJ, Williams R, Gokaslan ZL, et al. A Systematic Review With Consensus Expert Opinion of Best Reconstructive Techniques After Osseous En Bloc Spinal Column Tumor Resection. Spine (Phila Pa 1976). 2016;41(20):S205-11.</w:t>
      </w:r>
      <w:r w:rsidRPr="00A02E51">
        <w:rPr>
          <w:rFonts w:ascii="Arial" w:eastAsia="Times New Roman" w:hAnsi="Arial" w:cs="Arial"/>
          <w:color w:val="1F1F1F"/>
          <w:kern w:val="0"/>
          <w14:ligatures w14:val="none"/>
        </w:rPr>
        <w:t xml:space="preserve"> </w:t>
      </w:r>
    </w:p>
    <w:p w14:paraId="390F006C"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0F900BC6"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Matsumoto M, Watanabe K, Tsuji T, Ishii K, Nakamura M, Chiba K, et al. Late instrumentation failure after total en bloc spondylectomy. J Neurosurg Spine. 2011;15(3):320-7.</w:t>
      </w:r>
      <w:r w:rsidRPr="00A02E51">
        <w:rPr>
          <w:rFonts w:ascii="Arial" w:eastAsia="Times New Roman" w:hAnsi="Arial" w:cs="Arial"/>
          <w:color w:val="1F1F1F"/>
          <w:kern w:val="0"/>
          <w14:ligatures w14:val="none"/>
        </w:rPr>
        <w:t xml:space="preserve"> </w:t>
      </w:r>
    </w:p>
    <w:p w14:paraId="24206AEC"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0AB297DC"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Matsumoto M, Watanabe K, Tsuji T, Ishii K, Nakamura M, Chiba K, et al. Late instrumentation failure after total en bloc spondylectomy. J Neurosurg Spine. 2011;15(3):320-7.</w:t>
      </w:r>
      <w:r w:rsidRPr="00A02E51">
        <w:rPr>
          <w:rFonts w:ascii="Arial" w:eastAsia="Times New Roman" w:hAnsi="Arial" w:cs="Arial"/>
          <w:color w:val="1F1F1F"/>
          <w:kern w:val="0"/>
          <w14:ligatures w14:val="none"/>
        </w:rPr>
        <w:t xml:space="preserve"> </w:t>
      </w:r>
    </w:p>
    <w:p w14:paraId="00788846"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2B10A57F"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Palanca M, Cristofolini L, Gasbarrini A, Tedesco G, Barbanti-Brodano G. Assessing the Mechanical Weakness of Vertebrae Affected by Primary Tumors: A Feasibility Study. Materials. 2020;13(15):3256.</w:t>
      </w:r>
      <w:r w:rsidRPr="00A02E51">
        <w:rPr>
          <w:rFonts w:ascii="Arial" w:eastAsia="Times New Roman" w:hAnsi="Arial" w:cs="Arial"/>
          <w:color w:val="1F1F1F"/>
          <w:kern w:val="0"/>
          <w14:ligatures w14:val="none"/>
        </w:rPr>
        <w:t xml:space="preserve"> </w:t>
      </w:r>
    </w:p>
    <w:p w14:paraId="38A9B83A"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620D6C29"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Salvatore G, Berton A, Giambini H, Ciuffreda M, Florio P, Longo UG, et al. Biomechanical effects of metastasis in the osteoporotic lumbar spine: A Finite Element Analysis. BMC Musculoskelet Disord. 2018;19(1):38.</w:t>
      </w:r>
      <w:r w:rsidRPr="00A02E51">
        <w:rPr>
          <w:rFonts w:ascii="Arial" w:eastAsia="Times New Roman" w:hAnsi="Arial" w:cs="Arial"/>
          <w:color w:val="1F1F1F"/>
          <w:kern w:val="0"/>
          <w14:ligatures w14:val="none"/>
        </w:rPr>
        <w:t xml:space="preserve"> </w:t>
      </w:r>
    </w:p>
    <w:p w14:paraId="37FB5662"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402DC03F"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Stadelmann MA, Schenk DE, Maquer G, Lenherr C, Buck FM, Bosshardt DD, et al. Conventional finite element models estimate the strength of metastatic human vertebrae despite alterations of the bone's tissue and structure. Bone. 2020;141:115598.</w:t>
      </w:r>
      <w:r w:rsidRPr="00A02E51">
        <w:rPr>
          <w:rFonts w:ascii="Arial" w:eastAsia="Times New Roman" w:hAnsi="Arial" w:cs="Arial"/>
          <w:color w:val="1F1F1F"/>
          <w:kern w:val="0"/>
          <w14:ligatures w14:val="none"/>
        </w:rPr>
        <w:t xml:space="preserve"> </w:t>
      </w:r>
    </w:p>
    <w:p w14:paraId="36351824"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2DEBDC18"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Campbell GM, Peña JA, Giravent S, Thomsen F, Damm T, Glüer CC, et al. Assessment of Bone Fragility in Patients With Multiple Myeloma Using QCT-Based Finite Element Modeling. Journal of Bone and Mineral Research. 2017;32(1):151-6.</w:t>
      </w:r>
      <w:r w:rsidRPr="00A02E51">
        <w:rPr>
          <w:rFonts w:ascii="Arial" w:eastAsia="Times New Roman" w:hAnsi="Arial" w:cs="Arial"/>
          <w:color w:val="1F1F1F"/>
          <w:kern w:val="0"/>
          <w14:ligatures w14:val="none"/>
        </w:rPr>
        <w:t xml:space="preserve"> </w:t>
      </w:r>
    </w:p>
    <w:p w14:paraId="4C675557"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3341D587"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de Ruiter GCW, Pipola V, Griffoni C, Gasbarrini A. Sublaminar bands in oncological spine surgery: illustrative cases. Journal of Neurosurgery: Case Lessons. 2021;1(21).</w:t>
      </w:r>
      <w:r w:rsidRPr="00A02E51">
        <w:rPr>
          <w:rFonts w:ascii="Arial" w:eastAsia="Times New Roman" w:hAnsi="Arial" w:cs="Arial"/>
          <w:color w:val="1F1F1F"/>
          <w:kern w:val="0"/>
          <w14:ligatures w14:val="none"/>
        </w:rPr>
        <w:t xml:space="preserve"> </w:t>
      </w:r>
    </w:p>
    <w:p w14:paraId="7FA97D99"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24444374"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lastRenderedPageBreak/>
        <w:t>Schneider E, Lutschounig MC, Straub J, Vertesich K, Krepler P, Rienmüller A, et al. En Bloc Total Vertebrectomy of the Thoracic and Lumbar Spine. J Clin Med. 2024;13(17):5312.</w:t>
      </w:r>
      <w:r w:rsidRPr="00A02E51">
        <w:rPr>
          <w:rFonts w:ascii="Arial" w:eastAsia="Times New Roman" w:hAnsi="Arial" w:cs="Arial"/>
          <w:color w:val="1F1F1F"/>
          <w:kern w:val="0"/>
          <w14:ligatures w14:val="none"/>
        </w:rPr>
        <w:t xml:space="preserve"> </w:t>
      </w:r>
    </w:p>
    <w:p w14:paraId="69DC9021"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4D923DC5"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Novellis P, Cannavò L, Lembo R, Evangelista A, Dieci E, Giudici V, et al. Surgical and Oncological Outcomes of En-Bloc Resection for Malignancies Invading the Thoracic Spine. J Clin Med. 2022;12(1):31.</w:t>
      </w:r>
      <w:r w:rsidRPr="00A02E51">
        <w:rPr>
          <w:rFonts w:ascii="Arial" w:eastAsia="Times New Roman" w:hAnsi="Arial" w:cs="Arial"/>
          <w:color w:val="1F1F1F"/>
          <w:kern w:val="0"/>
          <w14:ligatures w14:val="none"/>
        </w:rPr>
        <w:t xml:space="preserve"> </w:t>
      </w:r>
    </w:p>
    <w:p w14:paraId="7E588B19"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25DD4ACD"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Schneider E, Lutschounig MC, Straub J, Vertesich K, Krepler P, Rienmüller A, et al. En Bloc Total Vertebrectomy of the Thoracic and Lumbar Spine. J Clin Med. 2024;13(17):5312.</w:t>
      </w:r>
      <w:r w:rsidRPr="00A02E51">
        <w:rPr>
          <w:rFonts w:ascii="Arial" w:eastAsia="Times New Roman" w:hAnsi="Arial" w:cs="Arial"/>
          <w:color w:val="1F1F1F"/>
          <w:kern w:val="0"/>
          <w14:ligatures w14:val="none"/>
        </w:rPr>
        <w:t xml:space="preserve"> </w:t>
      </w:r>
    </w:p>
    <w:p w14:paraId="358B5298"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3CEC6CEE"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Novellis P, Cannavò L, Lembo R, Evangelista A, Dieci E, Giudici V, et al. Surgical and Oncological Outcomes of En-Bloc Resection for Malignancies Invading the Thoracic Spine. J Clin Med. 2022;12(1):31.</w:t>
      </w:r>
      <w:r w:rsidRPr="00A02E51">
        <w:rPr>
          <w:rFonts w:ascii="Arial" w:eastAsia="Times New Roman" w:hAnsi="Arial" w:cs="Arial"/>
          <w:color w:val="1F1F1F"/>
          <w:kern w:val="0"/>
          <w14:ligatures w14:val="none"/>
        </w:rPr>
        <w:t xml:space="preserve"> </w:t>
      </w:r>
    </w:p>
    <w:p w14:paraId="551BCCE3"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269005EB"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Rustagi T, Mashaly H, Ganguly R, Akhter A, Mendel E. Transpedicular Vertebrectomy With Circumferential Spinal Cord Decompression and Reconstruction for Thoracic Spine Metastasis. Spine (Phila Pa 1976). 2020;45(14):e820-8.</w:t>
      </w:r>
      <w:r w:rsidRPr="00A02E51">
        <w:rPr>
          <w:rFonts w:ascii="Arial" w:eastAsia="Times New Roman" w:hAnsi="Arial" w:cs="Arial"/>
          <w:color w:val="1F1F1F"/>
          <w:kern w:val="0"/>
          <w14:ligatures w14:val="none"/>
        </w:rPr>
        <w:t xml:space="preserve"> </w:t>
      </w:r>
    </w:p>
    <w:p w14:paraId="7E3FDFF5"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737FC72A"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Niu J, Zhao Z, Wang J, Yan T, Guo W, Yang R, et al. Surgical results and quality of life after single-stage posterior transpedicular approach for circumferential epidural decompression in patients with thoracolumbar spine metastasis. J Cancer. 2023;14(11):2145-51.</w:t>
      </w:r>
      <w:r w:rsidRPr="00A02E51">
        <w:rPr>
          <w:rFonts w:ascii="Arial" w:eastAsia="Times New Roman" w:hAnsi="Arial" w:cs="Arial"/>
          <w:color w:val="1F1F1F"/>
          <w:kern w:val="0"/>
          <w14:ligatures w14:val="none"/>
        </w:rPr>
        <w:t xml:space="preserve"> </w:t>
      </w:r>
    </w:p>
    <w:p w14:paraId="08089E8E"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4DB770A5"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Schneider E, Lutschounig MC, Straub J, Vertesich K, Krepler P, Rienmüller A, et al. En Bloc Total Vertebrectomy of the Thoracic and Lumbar Spine. J Clin Med. 2024;13(17):5312.</w:t>
      </w:r>
      <w:r w:rsidRPr="00A02E51">
        <w:rPr>
          <w:rFonts w:ascii="Arial" w:eastAsia="Times New Roman" w:hAnsi="Arial" w:cs="Arial"/>
          <w:color w:val="1F1F1F"/>
          <w:kern w:val="0"/>
          <w14:ligatures w14:val="none"/>
        </w:rPr>
        <w:t xml:space="preserve"> </w:t>
      </w:r>
    </w:p>
    <w:p w14:paraId="11695996"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119E9BB3"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Luzzati AD, Shah S, Gagliano F, Perrucchini G, Scotto G, Aloisio M. Multilevel En Bloc Spondylectomy for Tumors of the Thoracic and Lumbar Spine Is Challenging But Rewarding. Clin Orthop Relat Res. 2015;473(3):858-67.</w:t>
      </w:r>
      <w:r w:rsidRPr="00A02E51">
        <w:rPr>
          <w:rFonts w:ascii="Arial" w:eastAsia="Times New Roman" w:hAnsi="Arial" w:cs="Arial"/>
          <w:color w:val="1F1F1F"/>
          <w:kern w:val="0"/>
          <w14:ligatures w14:val="none"/>
        </w:rPr>
        <w:t xml:space="preserve"> </w:t>
      </w:r>
    </w:p>
    <w:p w14:paraId="0CC7CB17"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67C6F982"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Roser S, Maharaj MM, Taylor MA, Kuru R, Hansen MA, Ferch R. Vertebrectomy in metastatic spinal tumours: A 10 year, single-centre review of outcomes and survival. Journal of Clinical Neuroscience. 2019;68:218-23.</w:t>
      </w:r>
      <w:r w:rsidRPr="00A02E51">
        <w:rPr>
          <w:rFonts w:ascii="Arial" w:eastAsia="Times New Roman" w:hAnsi="Arial" w:cs="Arial"/>
          <w:color w:val="1F1F1F"/>
          <w:kern w:val="0"/>
          <w14:ligatures w14:val="none"/>
        </w:rPr>
        <w:t xml:space="preserve"> </w:t>
      </w:r>
    </w:p>
    <w:p w14:paraId="575EED5B"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6FC4A2EF"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Gokaslan ZL, York JE, Walsh GL, McCutcheon IE, Lang FF, Putnam JB, et al. Transthoracic vertebrectomy for metastatic spinal tumors. J Neurosurg. 1998;89(4):599-609.</w:t>
      </w:r>
      <w:r w:rsidRPr="00A02E51">
        <w:rPr>
          <w:rFonts w:ascii="Arial" w:eastAsia="Times New Roman" w:hAnsi="Arial" w:cs="Arial"/>
          <w:color w:val="1F1F1F"/>
          <w:kern w:val="0"/>
          <w14:ligatures w14:val="none"/>
        </w:rPr>
        <w:t xml:space="preserve"> </w:t>
      </w:r>
    </w:p>
    <w:p w14:paraId="65AB93B9"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024F0570"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Schneider E, Lutschounig MC, Straub J, Vertesich K, Krepler P, Rienmüller A, et al. En Bloc Total Vertebrectomy of the Thoracic and Lumbar Spine. J Clin Med. 2024;13(17):5312.</w:t>
      </w:r>
      <w:r w:rsidRPr="00A02E51">
        <w:rPr>
          <w:rFonts w:ascii="Arial" w:eastAsia="Times New Roman" w:hAnsi="Arial" w:cs="Arial"/>
          <w:color w:val="1F1F1F"/>
          <w:kern w:val="0"/>
          <w14:ligatures w14:val="none"/>
        </w:rPr>
        <w:t xml:space="preserve"> </w:t>
      </w:r>
    </w:p>
    <w:p w14:paraId="2C905C60"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39349BAE"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lastRenderedPageBreak/>
        <w:t>Luzzati AD, Shah S, Gagliano F, Perrucchini G, Scotto G, Aloisio M. Multilevel En Bloc Spondylectomy for Tumors of the Thoracic and Lumbar Spine Is Challenging But Rewarding. Clin Orthop Relat Res. 2015;473(3):858-67.</w:t>
      </w:r>
      <w:r w:rsidRPr="00A02E51">
        <w:rPr>
          <w:rFonts w:ascii="Arial" w:eastAsia="Times New Roman" w:hAnsi="Arial" w:cs="Arial"/>
          <w:color w:val="1F1F1F"/>
          <w:kern w:val="0"/>
          <w14:ligatures w14:val="none"/>
        </w:rPr>
        <w:t xml:space="preserve"> </w:t>
      </w:r>
    </w:p>
    <w:p w14:paraId="324533A9"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23DB9EE2"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Roser S, Maharaj MM, Taylor MA, Kuru R, Hansen MA, Ferch R. Vertebrectomy in metastatic spinal tumours: A 10 year, single-centre review of outcomes and survival. J Clin Neurosci. 2019;68:218-23.</w:t>
      </w:r>
      <w:r w:rsidRPr="00A02E51">
        <w:rPr>
          <w:rFonts w:ascii="Arial" w:eastAsia="Times New Roman" w:hAnsi="Arial" w:cs="Arial"/>
          <w:color w:val="1F1F1F"/>
          <w:kern w:val="0"/>
          <w14:ligatures w14:val="none"/>
        </w:rPr>
        <w:t xml:space="preserve"> </w:t>
      </w:r>
    </w:p>
    <w:p w14:paraId="3B6AF854"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11C57926"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Roser S, Maharaj MM, Taylor MA, Kuru R, Hansen MA, et al. Vertebrectomy in metastatic spinal tumours: A 10 year, single-centre review of outcomes and survival. Journal of Clinical Neuroscience. 2019;68:218-23.</w:t>
      </w:r>
      <w:r w:rsidRPr="00A02E51">
        <w:rPr>
          <w:rFonts w:ascii="Arial" w:eastAsia="Times New Roman" w:hAnsi="Arial" w:cs="Arial"/>
          <w:color w:val="1F1F1F"/>
          <w:kern w:val="0"/>
          <w14:ligatures w14:val="none"/>
        </w:rPr>
        <w:t xml:space="preserve"> </w:t>
      </w:r>
    </w:p>
    <w:p w14:paraId="5FC556FB"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30A6D385"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Schneider E, Lutschounig MC, Straub J, Vertesich K, Krepler P, Rienmüller A, et al. En Bloc Total Vertebrectomy of the Thoracic and Lumbar Spine. J Clin Med. 2024;13(17):5312.</w:t>
      </w:r>
      <w:r w:rsidRPr="00A02E51">
        <w:rPr>
          <w:rFonts w:ascii="Arial" w:eastAsia="Times New Roman" w:hAnsi="Arial" w:cs="Arial"/>
          <w:color w:val="1F1F1F"/>
          <w:kern w:val="0"/>
          <w14:ligatures w14:val="none"/>
        </w:rPr>
        <w:t xml:space="preserve"> </w:t>
      </w:r>
    </w:p>
    <w:p w14:paraId="0B0D6438"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1BCA7616"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Novellis P, Cannavò L, Lembo R, Evangelista A, Dieci E, Giudici V, et al. Surgical and Oncological Outcomes of En-Bloc Resection for Malignancies Invading the Thoracic Spine. J Clin Med. 2022;12(1):31.</w:t>
      </w:r>
      <w:r w:rsidRPr="00A02E51">
        <w:rPr>
          <w:rFonts w:ascii="Arial" w:eastAsia="Times New Roman" w:hAnsi="Arial" w:cs="Arial"/>
          <w:color w:val="1F1F1F"/>
          <w:kern w:val="0"/>
          <w14:ligatures w14:val="none"/>
        </w:rPr>
        <w:t xml:space="preserve"> </w:t>
      </w:r>
    </w:p>
    <w:p w14:paraId="4120F73E"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28B9E9C7"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Roser S, Maharaj MM, Taylor MA, Kuru R, Hansen MA, Ferch R. Vertebrectomy in metastatic spinal tumours: A 10 year, single-centre review of outcomes and survival. J Clin Neurosci. 2019;68:218-23.</w:t>
      </w:r>
      <w:r w:rsidRPr="00A02E51">
        <w:rPr>
          <w:rFonts w:ascii="Arial" w:eastAsia="Times New Roman" w:hAnsi="Arial" w:cs="Arial"/>
          <w:color w:val="1F1F1F"/>
          <w:kern w:val="0"/>
          <w14:ligatures w14:val="none"/>
        </w:rPr>
        <w:t xml:space="preserve"> </w:t>
      </w:r>
    </w:p>
    <w:p w14:paraId="7F4A527A"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614B14B2"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Gokaslan ZL, York JE, Walsh GL, McCutcheon IE, Lang FF, Putnam JB, et al. Transthoracic vertebrectomy for metastatic spinal tumors. J Neurosurg. 1998;89(4):599-609.</w:t>
      </w:r>
      <w:r w:rsidRPr="00A02E51">
        <w:rPr>
          <w:rFonts w:ascii="Arial" w:eastAsia="Times New Roman" w:hAnsi="Arial" w:cs="Arial"/>
          <w:color w:val="1F1F1F"/>
          <w:kern w:val="0"/>
          <w14:ligatures w14:val="none"/>
        </w:rPr>
        <w:t xml:space="preserve"> </w:t>
      </w:r>
    </w:p>
    <w:p w14:paraId="1865CC9B"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146704EB"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Nambu K, Kawahara N, Kobayashi T, Murakami H, Ueda Y, Tomita K. Interruption of the Bilateral Segmental Arteries at Several Levels. Spine (Phila Pa 1976). 2004;29(14):1530-4.</w:t>
      </w:r>
      <w:r w:rsidRPr="00A02E51">
        <w:rPr>
          <w:rFonts w:ascii="Arial" w:eastAsia="Times New Roman" w:hAnsi="Arial" w:cs="Arial"/>
          <w:color w:val="1F1F1F"/>
          <w:kern w:val="0"/>
          <w14:ligatures w14:val="none"/>
        </w:rPr>
        <w:t xml:space="preserve"> </w:t>
      </w:r>
    </w:p>
    <w:p w14:paraId="4F345E19"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270ABDCD"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Ueda Y, Kawahara N, Tomita K, Kobayashi T, Murakami H, Nambu K. Influence on Spinal Cord Blood Flow and Function by Interruption of Bilateral Segmental Arteries at Up to Three Levels: Experimental Study in Dogs. Spine (Phila Pa 1976). 2005;30(20):2239-43.</w:t>
      </w:r>
      <w:r w:rsidRPr="00A02E51">
        <w:rPr>
          <w:rFonts w:ascii="Arial" w:eastAsia="Times New Roman" w:hAnsi="Arial" w:cs="Arial"/>
          <w:color w:val="1F1F1F"/>
          <w:kern w:val="0"/>
          <w14:ligatures w14:val="none"/>
        </w:rPr>
        <w:t xml:space="preserve"> </w:t>
      </w:r>
    </w:p>
    <w:p w14:paraId="62201758"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042C7BD1"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Tomita K, Kawahara N, Murakami H, Demura S. Total en bloc spondylectomy for spinal tumors: improvement of the technique and its associated basic background. J Orthop Sci. 2006;11(1):3-12.</w:t>
      </w:r>
      <w:r w:rsidRPr="00A02E51">
        <w:rPr>
          <w:rFonts w:ascii="Arial" w:eastAsia="Times New Roman" w:hAnsi="Arial" w:cs="Arial"/>
          <w:color w:val="1F1F1F"/>
          <w:kern w:val="0"/>
          <w14:ligatures w14:val="none"/>
        </w:rPr>
        <w:t xml:space="preserve"> </w:t>
      </w:r>
    </w:p>
    <w:p w14:paraId="3996A32B"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62FE82D5"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Girolami M, Boriani S, Bandiera S, Barbanti-Bródano G, Ghermandi R, Terzi S, et al. Biomimetic 3D-printed custom-made prosthesis for anterior column reconstruction in the thoracolumbar spine: a tailored option following en bloc resection for spinal tumors. European Spine Journal. 2018;27(12):3073-83.</w:t>
      </w:r>
      <w:r w:rsidRPr="00A02E51">
        <w:rPr>
          <w:rFonts w:ascii="Arial" w:eastAsia="Times New Roman" w:hAnsi="Arial" w:cs="Arial"/>
          <w:color w:val="1F1F1F"/>
          <w:kern w:val="0"/>
          <w14:ligatures w14:val="none"/>
        </w:rPr>
        <w:t xml:space="preserve"> </w:t>
      </w:r>
    </w:p>
    <w:p w14:paraId="58EE19E4"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41642AFA"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lastRenderedPageBreak/>
        <w:t>Court C, Boulate D, Missenard G, Mercier O, Fadel E, Bouthors C. Video-Assisted Thoracoscopic En Bloc Vertebrectomy for Spine Tumors. J Bone Joint Sur Am. 2021;103(12):1104-14.</w:t>
      </w:r>
      <w:r w:rsidRPr="00A02E51">
        <w:rPr>
          <w:rFonts w:ascii="Arial" w:eastAsia="Times New Roman" w:hAnsi="Arial" w:cs="Arial"/>
          <w:color w:val="1F1F1F"/>
          <w:kern w:val="0"/>
          <w14:ligatures w14:val="none"/>
        </w:rPr>
        <w:t xml:space="preserve"> </w:t>
      </w:r>
    </w:p>
    <w:p w14:paraId="3AD188EB"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137E7FE2"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Long X, Zou X, Tong X, Yu D, Li H, Chang Y, et al. Improved Thoracoscopic-Assisted Surgery for the Treatment of Metastatic Thoracic Vertebral Tumors. Journal of Visualized Experiments. 2024;(210).</w:t>
      </w:r>
      <w:r w:rsidRPr="00A02E51">
        <w:rPr>
          <w:rFonts w:ascii="Arial" w:eastAsia="Times New Roman" w:hAnsi="Arial" w:cs="Arial"/>
          <w:color w:val="1F1F1F"/>
          <w:kern w:val="0"/>
          <w14:ligatures w14:val="none"/>
        </w:rPr>
        <w:t xml:space="preserve"> </w:t>
      </w:r>
    </w:p>
    <w:p w14:paraId="76FCB2C7"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5763668A"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Dickman CA, Rosenthal D, Karahalios DG, Paramore CG, Mican CA, Apostolides PJ, et al. Thoracic Vertebrectomy and Reconstruction Using a Microsurgical Thoracoscopic Approach. Neurosurgery. 1996;38(2):279-93.</w:t>
      </w:r>
      <w:r w:rsidRPr="00A02E51">
        <w:rPr>
          <w:rFonts w:ascii="Arial" w:eastAsia="Times New Roman" w:hAnsi="Arial" w:cs="Arial"/>
          <w:color w:val="1F1F1F"/>
          <w:kern w:val="0"/>
          <w14:ligatures w14:val="none"/>
        </w:rPr>
        <w:t xml:space="preserve"> </w:t>
      </w:r>
    </w:p>
    <w:p w14:paraId="1B61ABB4"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0D04DDA1"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Ghenbot Y, Golubovsky J, Ahmad HS, Arena JD, Santangelo G, Wathen C, et al. Technical Feasibility and Safety of Transpedicular Thoracic Partial Corpectomy Using Biportal Endoscopic Technique: A Novel Approach for Separation Surgery in Spinal Metastatic Disease. World Neurosurg. 2025;194:123582.</w:t>
      </w:r>
      <w:r w:rsidRPr="00A02E51">
        <w:rPr>
          <w:rFonts w:ascii="Arial" w:eastAsia="Times New Roman" w:hAnsi="Arial" w:cs="Arial"/>
          <w:color w:val="1F1F1F"/>
          <w:kern w:val="0"/>
          <w14:ligatures w14:val="none"/>
        </w:rPr>
        <w:t xml:space="preserve"> </w:t>
      </w:r>
    </w:p>
    <w:p w14:paraId="0EB716AC"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20ED8C45" w14:textId="77777777" w:rsidR="00A02E51" w:rsidRPr="00A02E51" w:rsidRDefault="00A02E51" w:rsidP="00A02E51">
      <w:pPr>
        <w:numPr>
          <w:ilvl w:val="0"/>
          <w:numId w:val="2"/>
        </w:num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bdr w:val="none" w:sz="0" w:space="0" w:color="auto" w:frame="1"/>
          <w14:ligatures w14:val="none"/>
        </w:rPr>
        <w:t>Li Z, Wang C, Song X, Liu S, Zhang Y, Jiang S, et al. Accuracy Evaluation of a Novel Spinal Robotic System for Autonomous Laminectomy in Thoracic and Lumbar Vertebrae. Journal of Bone and Joint Surgery. 2023;105(12):943-50.</w:t>
      </w:r>
      <w:r w:rsidRPr="00A02E51">
        <w:rPr>
          <w:rFonts w:ascii="Arial" w:eastAsia="Times New Roman" w:hAnsi="Arial" w:cs="Arial"/>
          <w:color w:val="1F1F1F"/>
          <w:kern w:val="0"/>
          <w14:ligatures w14:val="none"/>
        </w:rPr>
        <w:t xml:space="preserve"> </w:t>
      </w:r>
    </w:p>
    <w:p w14:paraId="542AE6FE"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61043063" w14:textId="17AEBD1B" w:rsidR="00A02E51" w:rsidRPr="00A02E51" w:rsidRDefault="00A02E51" w:rsidP="00A02E51">
      <w:pPr>
        <w:spacing w:after="0" w:line="240" w:lineRule="auto"/>
        <w:rPr>
          <w:rFonts w:ascii="Arial" w:eastAsia="Times New Roman" w:hAnsi="Arial" w:cs="Arial"/>
          <w:color w:val="1F1F1F"/>
          <w:kern w:val="0"/>
          <w14:ligatures w14:val="none"/>
        </w:rPr>
      </w:pPr>
    </w:p>
    <w:p w14:paraId="4FE4E431" w14:textId="77777777" w:rsidR="00A02E51" w:rsidRPr="00A02E51" w:rsidRDefault="00A02E51" w:rsidP="00A02E51">
      <w:pPr>
        <w:spacing w:after="0" w:line="240" w:lineRule="auto"/>
        <w:ind w:left="1440"/>
        <w:rPr>
          <w:rFonts w:ascii="Arial" w:eastAsia="Times New Roman" w:hAnsi="Arial" w:cs="Arial"/>
          <w:color w:val="1F1F1F"/>
          <w:kern w:val="0"/>
          <w14:ligatures w14:val="none"/>
        </w:rPr>
      </w:pPr>
    </w:p>
    <w:p w14:paraId="1B131E98" w14:textId="77777777" w:rsidR="00A02E51" w:rsidRPr="00A02E51" w:rsidRDefault="00A02E51" w:rsidP="00A02E51">
      <w:pPr>
        <w:spacing w:after="0" w:line="240" w:lineRule="auto"/>
        <w:rPr>
          <w:rFonts w:ascii="Arial" w:eastAsia="Times New Roman" w:hAnsi="Arial" w:cs="Arial"/>
          <w:color w:val="1F1F1F"/>
          <w:kern w:val="0"/>
          <w14:ligatures w14:val="none"/>
        </w:rPr>
      </w:pPr>
      <w:r w:rsidRPr="00A02E51">
        <w:rPr>
          <w:rFonts w:ascii="Arial" w:eastAsia="Times New Roman" w:hAnsi="Arial" w:cs="Arial"/>
          <w:b/>
          <w:bCs/>
          <w:color w:val="1F1F1F"/>
          <w:kern w:val="0"/>
          <w:bdr w:val="none" w:sz="0" w:space="0" w:color="auto" w:frame="1"/>
          <w14:ligatures w14:val="none"/>
        </w:rPr>
        <w:t>Metadados para publicação</w:t>
      </w:r>
    </w:p>
    <w:p w14:paraId="47896B2F" w14:textId="77777777" w:rsidR="00A02E51" w:rsidRPr="00A02E51" w:rsidRDefault="00A02E51" w:rsidP="00A02E51">
      <w:pPr>
        <w:spacing w:after="0" w:line="240" w:lineRule="auto"/>
        <w:rPr>
          <w:rFonts w:ascii="Arial" w:eastAsia="Times New Roman" w:hAnsi="Arial" w:cs="Arial"/>
          <w:color w:val="1F1F1F"/>
          <w:kern w:val="0"/>
          <w14:ligatures w14:val="none"/>
        </w:rPr>
      </w:pPr>
      <w:r w:rsidRPr="00A02E51">
        <w:rPr>
          <w:rFonts w:ascii="Arial" w:eastAsia="Times New Roman" w:hAnsi="Arial" w:cs="Arial"/>
          <w:color w:val="1F1F1F"/>
          <w:kern w:val="0"/>
          <w14:ligatures w14:val="none"/>
        </w:rPr>
        <w:br/>
      </w:r>
    </w:p>
    <w:p w14:paraId="7DE1CC3A" w14:textId="77777777" w:rsidR="00A02E51" w:rsidRPr="00A02E51" w:rsidRDefault="00A02E51" w:rsidP="00A02E51">
      <w:pPr>
        <w:numPr>
          <w:ilvl w:val="0"/>
          <w:numId w:val="4"/>
        </w:numPr>
        <w:spacing w:after="0" w:line="240" w:lineRule="auto"/>
        <w:rPr>
          <w:rFonts w:ascii="Arial" w:eastAsia="Times New Roman" w:hAnsi="Arial" w:cs="Arial"/>
          <w:color w:val="1F1F1F"/>
          <w:kern w:val="0"/>
          <w14:ligatures w14:val="none"/>
        </w:rPr>
      </w:pPr>
      <w:r w:rsidRPr="00A02E51">
        <w:rPr>
          <w:rFonts w:ascii="Arial" w:eastAsia="Times New Roman" w:hAnsi="Arial" w:cs="Arial"/>
          <w:b/>
          <w:bCs/>
          <w:color w:val="1F1F1F"/>
          <w:kern w:val="0"/>
          <w:bdr w:val="none" w:sz="0" w:space="0" w:color="auto" w:frame="1"/>
          <w14:ligatures w14:val="none"/>
        </w:rPr>
        <w:t>Título SEO:</w:t>
      </w:r>
      <w:r w:rsidRPr="00A02E51">
        <w:rPr>
          <w:rFonts w:ascii="Arial" w:eastAsia="Times New Roman" w:hAnsi="Arial" w:cs="Arial"/>
          <w:color w:val="1F1F1F"/>
          <w:kern w:val="0"/>
          <w:bdr w:val="none" w:sz="0" w:space="0" w:color="auto" w:frame="1"/>
          <w14:ligatures w14:val="none"/>
        </w:rPr>
        <w:t xml:space="preserve"> Vertebrectomia Torácica e Lombar em Neoplasias</w:t>
      </w:r>
      <w:r w:rsidRPr="00A02E51">
        <w:rPr>
          <w:rFonts w:ascii="Arial" w:eastAsia="Times New Roman" w:hAnsi="Arial" w:cs="Arial"/>
          <w:color w:val="1F1F1F"/>
          <w:kern w:val="0"/>
          <w14:ligatures w14:val="none"/>
        </w:rPr>
        <w:t xml:space="preserve"> </w:t>
      </w:r>
    </w:p>
    <w:p w14:paraId="5A64CB53"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67D90B89" w14:textId="77777777" w:rsidR="00A02E51" w:rsidRPr="00A02E51" w:rsidRDefault="00A02E51" w:rsidP="00A02E51">
      <w:pPr>
        <w:numPr>
          <w:ilvl w:val="0"/>
          <w:numId w:val="4"/>
        </w:numPr>
        <w:spacing w:after="0" w:line="240" w:lineRule="auto"/>
        <w:rPr>
          <w:rFonts w:ascii="Arial" w:eastAsia="Times New Roman" w:hAnsi="Arial" w:cs="Arial"/>
          <w:color w:val="1F1F1F"/>
          <w:kern w:val="0"/>
          <w14:ligatures w14:val="none"/>
        </w:rPr>
      </w:pPr>
      <w:r w:rsidRPr="00A02E51">
        <w:rPr>
          <w:rFonts w:ascii="Arial" w:eastAsia="Times New Roman" w:hAnsi="Arial" w:cs="Arial"/>
          <w:b/>
          <w:bCs/>
          <w:color w:val="1F1F1F"/>
          <w:kern w:val="0"/>
          <w:bdr w:val="none" w:sz="0" w:space="0" w:color="auto" w:frame="1"/>
          <w14:ligatures w14:val="none"/>
        </w:rPr>
        <w:t>Meta descrição:</w:t>
      </w:r>
      <w:r w:rsidRPr="00A02E51">
        <w:rPr>
          <w:rFonts w:ascii="Arial" w:eastAsia="Times New Roman" w:hAnsi="Arial" w:cs="Arial"/>
          <w:color w:val="1F1F1F"/>
          <w:kern w:val="0"/>
          <w:bdr w:val="none" w:sz="0" w:space="0" w:color="auto" w:frame="1"/>
          <w14:ligatures w14:val="none"/>
        </w:rPr>
        <w:t xml:space="preserve"> Guia sobre vertebrectomia torácica e lombar em neoplasias: indicações, sistema WBB, embolização, técnica de Gasbarrini e prevenção de complicações.</w:t>
      </w:r>
      <w:r w:rsidRPr="00A02E51">
        <w:rPr>
          <w:rFonts w:ascii="Arial" w:eastAsia="Times New Roman" w:hAnsi="Arial" w:cs="Arial"/>
          <w:color w:val="1F1F1F"/>
          <w:kern w:val="0"/>
          <w14:ligatures w14:val="none"/>
        </w:rPr>
        <w:t xml:space="preserve"> </w:t>
      </w:r>
    </w:p>
    <w:p w14:paraId="0C9C858D"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6BBC3295" w14:textId="77777777" w:rsidR="00A02E51" w:rsidRPr="00A02E51" w:rsidRDefault="00A02E51" w:rsidP="00A02E51">
      <w:pPr>
        <w:numPr>
          <w:ilvl w:val="0"/>
          <w:numId w:val="4"/>
        </w:numPr>
        <w:spacing w:after="0" w:line="240" w:lineRule="auto"/>
        <w:rPr>
          <w:rFonts w:ascii="Arial" w:eastAsia="Times New Roman" w:hAnsi="Arial" w:cs="Arial"/>
          <w:color w:val="1F1F1F"/>
          <w:kern w:val="0"/>
          <w14:ligatures w14:val="none"/>
        </w:rPr>
      </w:pPr>
      <w:r w:rsidRPr="00A02E51">
        <w:rPr>
          <w:rFonts w:ascii="Arial" w:eastAsia="Times New Roman" w:hAnsi="Arial" w:cs="Arial"/>
          <w:b/>
          <w:bCs/>
          <w:color w:val="1F1F1F"/>
          <w:kern w:val="0"/>
          <w:bdr w:val="none" w:sz="0" w:space="0" w:color="auto" w:frame="1"/>
          <w14:ligatures w14:val="none"/>
        </w:rPr>
        <w:t>Resumo de chamada:</w:t>
      </w:r>
      <w:r w:rsidRPr="00A02E51">
        <w:rPr>
          <w:rFonts w:ascii="Arial" w:eastAsia="Times New Roman" w:hAnsi="Arial" w:cs="Arial"/>
          <w:color w:val="1F1F1F"/>
          <w:kern w:val="0"/>
          <w:bdr w:val="none" w:sz="0" w:space="0" w:color="auto" w:frame="1"/>
          <w14:ligatures w14:val="none"/>
        </w:rPr>
        <w:t xml:space="preserve"> Análise aprofundada da vertebrectomia torácica e lombar nas neoplasias espinhais, abordando estadiamento WBB, vias de acesso, reconstrução circumferential, técnica de Gasbarrini e manejo de complicações perioperatórias.</w:t>
      </w:r>
      <w:r w:rsidRPr="00A02E51">
        <w:rPr>
          <w:rFonts w:ascii="Arial" w:eastAsia="Times New Roman" w:hAnsi="Arial" w:cs="Arial"/>
          <w:color w:val="1F1F1F"/>
          <w:kern w:val="0"/>
          <w14:ligatures w14:val="none"/>
        </w:rPr>
        <w:t xml:space="preserve"> </w:t>
      </w:r>
    </w:p>
    <w:p w14:paraId="2DED7F75" w14:textId="77777777" w:rsidR="00A02E51" w:rsidRPr="00A02E51" w:rsidRDefault="00A02E51" w:rsidP="00A02E51">
      <w:pPr>
        <w:spacing w:after="0" w:line="240" w:lineRule="auto"/>
        <w:ind w:left="720"/>
        <w:rPr>
          <w:rFonts w:ascii="Arial" w:eastAsia="Times New Roman" w:hAnsi="Arial" w:cs="Arial"/>
          <w:color w:val="1F1F1F"/>
          <w:kern w:val="0"/>
          <w14:ligatures w14:val="none"/>
        </w:rPr>
      </w:pPr>
    </w:p>
    <w:p w14:paraId="0B3F729D" w14:textId="77777777" w:rsidR="00A02E51" w:rsidRPr="00A02E51" w:rsidRDefault="00A02E51" w:rsidP="00A02E51">
      <w:pPr>
        <w:numPr>
          <w:ilvl w:val="0"/>
          <w:numId w:val="4"/>
        </w:numPr>
        <w:spacing w:after="0" w:line="240" w:lineRule="auto"/>
        <w:rPr>
          <w:rFonts w:ascii="Arial" w:eastAsia="Times New Roman" w:hAnsi="Arial" w:cs="Arial"/>
          <w:color w:val="1F1F1F"/>
          <w:kern w:val="0"/>
          <w14:ligatures w14:val="none"/>
        </w:rPr>
      </w:pPr>
      <w:r w:rsidRPr="00A02E51">
        <w:rPr>
          <w:rFonts w:ascii="Arial" w:eastAsia="Times New Roman" w:hAnsi="Arial" w:cs="Arial"/>
          <w:b/>
          <w:bCs/>
          <w:color w:val="1F1F1F"/>
          <w:kern w:val="0"/>
          <w:bdr w:val="none" w:sz="0" w:space="0" w:color="auto" w:frame="1"/>
          <w14:ligatures w14:val="none"/>
        </w:rPr>
        <w:t>Sugestão de slug:</w:t>
      </w:r>
      <w:r w:rsidRPr="00A02E51">
        <w:rPr>
          <w:rFonts w:ascii="Arial" w:eastAsia="Times New Roman" w:hAnsi="Arial" w:cs="Arial"/>
          <w:color w:val="1F1F1F"/>
          <w:kern w:val="0"/>
          <w:bdr w:val="none" w:sz="0" w:space="0" w:color="auto" w:frame="1"/>
          <w14:ligatures w14:val="none"/>
        </w:rPr>
        <w:t xml:space="preserve"> vertebrectomia-toracica-lombar-neoplasias</w:t>
      </w:r>
      <w:r w:rsidRPr="00A02E51">
        <w:rPr>
          <w:rFonts w:ascii="Arial" w:eastAsia="Times New Roman" w:hAnsi="Arial" w:cs="Arial"/>
          <w:color w:val="1F1F1F"/>
          <w:kern w:val="0"/>
          <w14:ligatures w14:val="none"/>
        </w:rPr>
        <w:t xml:space="preserve"> </w:t>
      </w:r>
    </w:p>
    <w:p w14:paraId="58C1AA21" w14:textId="77777777" w:rsidR="00A02E51" w:rsidRDefault="00A02E51"/>
    <w:sectPr w:rsidR="00A02E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1F2044A"/>
    <w:multiLevelType w:val="multilevel"/>
    <w:tmpl w:val="69B01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723F39"/>
    <w:multiLevelType w:val="multilevel"/>
    <w:tmpl w:val="5B4E1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DF08D1"/>
    <w:multiLevelType w:val="multilevel"/>
    <w:tmpl w:val="BD888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99154D"/>
    <w:multiLevelType w:val="multilevel"/>
    <w:tmpl w:val="996C6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2696089">
    <w:abstractNumId w:val="2"/>
  </w:num>
  <w:num w:numId="2" w16cid:durableId="353503212">
    <w:abstractNumId w:val="1"/>
  </w:num>
  <w:num w:numId="3" w16cid:durableId="405958939">
    <w:abstractNumId w:val="0"/>
  </w:num>
  <w:num w:numId="4" w16cid:durableId="1166477585">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E51"/>
    <w:rsid w:val="00A02E51"/>
    <w:rsid w:val="00DB5164"/>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4:docId w14:val="1E908534"/>
  <w15:chartTrackingRefBased/>
  <w15:docId w15:val="{78450A10-3976-834E-B70F-8BE0FA18E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2E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2E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2E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2E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2E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2E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E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E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E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2E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2E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2E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2E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2E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2E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E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E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E51"/>
    <w:rPr>
      <w:rFonts w:eastAsiaTheme="majorEastAsia" w:cstheme="majorBidi"/>
      <w:color w:val="272727" w:themeColor="text1" w:themeTint="D8"/>
    </w:rPr>
  </w:style>
  <w:style w:type="paragraph" w:styleId="Title">
    <w:name w:val="Title"/>
    <w:basedOn w:val="Normal"/>
    <w:next w:val="Normal"/>
    <w:link w:val="TitleChar"/>
    <w:uiPriority w:val="10"/>
    <w:qFormat/>
    <w:rsid w:val="00A02E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2E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2E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E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2E51"/>
    <w:pPr>
      <w:spacing w:before="160"/>
      <w:jc w:val="center"/>
    </w:pPr>
    <w:rPr>
      <w:i/>
      <w:iCs/>
      <w:color w:val="404040" w:themeColor="text1" w:themeTint="BF"/>
    </w:rPr>
  </w:style>
  <w:style w:type="character" w:customStyle="1" w:styleId="QuoteChar">
    <w:name w:val="Quote Char"/>
    <w:basedOn w:val="DefaultParagraphFont"/>
    <w:link w:val="Quote"/>
    <w:uiPriority w:val="29"/>
    <w:rsid w:val="00A02E51"/>
    <w:rPr>
      <w:i/>
      <w:iCs/>
      <w:color w:val="404040" w:themeColor="text1" w:themeTint="BF"/>
    </w:rPr>
  </w:style>
  <w:style w:type="paragraph" w:styleId="ListParagraph">
    <w:name w:val="List Paragraph"/>
    <w:basedOn w:val="Normal"/>
    <w:uiPriority w:val="34"/>
    <w:qFormat/>
    <w:rsid w:val="00A02E51"/>
    <w:pPr>
      <w:ind w:left="720"/>
      <w:contextualSpacing/>
    </w:pPr>
  </w:style>
  <w:style w:type="character" w:styleId="IntenseEmphasis">
    <w:name w:val="Intense Emphasis"/>
    <w:basedOn w:val="DefaultParagraphFont"/>
    <w:uiPriority w:val="21"/>
    <w:qFormat/>
    <w:rsid w:val="00A02E51"/>
    <w:rPr>
      <w:i/>
      <w:iCs/>
      <w:color w:val="0F4761" w:themeColor="accent1" w:themeShade="BF"/>
    </w:rPr>
  </w:style>
  <w:style w:type="paragraph" w:styleId="IntenseQuote">
    <w:name w:val="Intense Quote"/>
    <w:basedOn w:val="Normal"/>
    <w:next w:val="Normal"/>
    <w:link w:val="IntenseQuoteChar"/>
    <w:uiPriority w:val="30"/>
    <w:qFormat/>
    <w:rsid w:val="00A02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2E51"/>
    <w:rPr>
      <w:i/>
      <w:iCs/>
      <w:color w:val="0F4761" w:themeColor="accent1" w:themeShade="BF"/>
    </w:rPr>
  </w:style>
  <w:style w:type="character" w:styleId="IntenseReference">
    <w:name w:val="Intense Reference"/>
    <w:basedOn w:val="DefaultParagraphFont"/>
    <w:uiPriority w:val="32"/>
    <w:qFormat/>
    <w:rsid w:val="00A02E51"/>
    <w:rPr>
      <w:b/>
      <w:bCs/>
      <w:smallCaps/>
      <w:color w:val="0F4761" w:themeColor="accent1" w:themeShade="BF"/>
      <w:spacing w:val="5"/>
    </w:rPr>
  </w:style>
  <w:style w:type="character" w:styleId="HTMLCode">
    <w:name w:val="HTML Code"/>
    <w:basedOn w:val="DefaultParagraphFont"/>
    <w:uiPriority w:val="99"/>
    <w:semiHidden/>
    <w:unhideWhenUsed/>
    <w:rsid w:val="00A02E5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3429</Words>
  <Characters>20063</Characters>
  <Application>Microsoft Office Word</Application>
  <DocSecurity>0</DocSecurity>
  <Lines>514</Lines>
  <Paragraphs>152</Paragraphs>
  <ScaleCrop>false</ScaleCrop>
  <Company/>
  <LinksUpToDate>false</LinksUpToDate>
  <CharactersWithSpaces>23340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Risso</dc:creator>
  <cp:keywords/>
  <dc:description/>
  <cp:lastModifiedBy>Marcelo Risso</cp:lastModifiedBy>
  <cp:revision>1</cp:revision>
  <dcterms:created xsi:type="dcterms:W3CDTF">2026-08-20T21:14:00Z</dcterms:created>
  <dcterms:modified xsi:type="dcterms:W3CDTF">2026-08-20T21:15:00Z</dcterms:modified>
</cp:coreProperties>
</file>