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FE1446" w14:textId="48260164" w:rsidR="00AD48AA" w:rsidRPr="00AD48AA" w:rsidRDefault="00AD48AA" w:rsidP="00AD48AA">
      <w:pPr>
        <w:spacing w:after="0" w:line="240" w:lineRule="auto"/>
        <w:outlineLvl w:val="0"/>
        <w:rPr>
          <w:rFonts w:ascii="Arial" w:eastAsia="Times New Roman" w:hAnsi="Arial" w:cs="Arial"/>
          <w:b/>
          <w:bCs/>
          <w:color w:val="1F1F1F"/>
          <w:kern w:val="36"/>
          <w:sz w:val="48"/>
          <w:szCs w:val="48"/>
          <w14:ligatures w14:val="none"/>
        </w:rPr>
      </w:pPr>
      <w:r>
        <w:rPr>
          <w:rFonts w:ascii="Arial" w:eastAsia="Times New Roman" w:hAnsi="Arial" w:cs="Arial"/>
          <w:b/>
          <w:bCs/>
          <w:color w:val="1F1F1F"/>
          <w:kern w:val="36"/>
          <w:sz w:val="48"/>
          <w:szCs w:val="48"/>
          <w14:ligatures w14:val="none"/>
        </w:rPr>
        <w:t>Capitulo 86</w:t>
      </w:r>
    </w:p>
    <w:p w14:paraId="7D5C908D"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Identificação</w:t>
      </w:r>
    </w:p>
    <w:p w14:paraId="63226A3B" w14:textId="39C5D008" w:rsidR="00AD48AA" w:rsidRPr="00AD48AA" w:rsidRDefault="00AD48AA" w:rsidP="00AD48AA">
      <w:pPr>
        <w:numPr>
          <w:ilvl w:val="0"/>
          <w:numId w:val="1"/>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Número do capítulo:</w:t>
      </w:r>
      <w:r w:rsidRPr="00AD48AA">
        <w:rPr>
          <w:rFonts w:ascii="Arial" w:eastAsia="Times New Roman" w:hAnsi="Arial" w:cs="Arial"/>
          <w:color w:val="1F1F1F"/>
          <w:kern w:val="0"/>
          <w14:ligatures w14:val="none"/>
        </w:rPr>
        <w:t xml:space="preserve"> Capítulo </w:t>
      </w:r>
      <w:r>
        <w:rPr>
          <w:rFonts w:ascii="Arial" w:eastAsia="Times New Roman" w:hAnsi="Arial" w:cs="Arial"/>
          <w:color w:val="1F1F1F"/>
          <w:kern w:val="0"/>
          <w14:ligatures w14:val="none"/>
        </w:rPr>
        <w:t>86</w:t>
      </w:r>
    </w:p>
    <w:p w14:paraId="3A5240C3"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008B3ED4" w14:textId="77777777" w:rsidR="00AD48AA" w:rsidRPr="00AD48AA" w:rsidRDefault="00AD48AA" w:rsidP="00AD48AA">
      <w:pPr>
        <w:numPr>
          <w:ilvl w:val="0"/>
          <w:numId w:val="1"/>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Título completo:</w:t>
      </w:r>
      <w:r w:rsidRPr="00AD48AA">
        <w:rPr>
          <w:rFonts w:ascii="Arial" w:eastAsia="Times New Roman" w:hAnsi="Arial" w:cs="Arial"/>
          <w:color w:val="1F1F1F"/>
          <w:kern w:val="0"/>
          <w14:ligatures w14:val="none"/>
        </w:rPr>
        <w:t xml:space="preserve"> Técnica de Fixação Bipolar da Coluna Vertebral</w:t>
      </w:r>
    </w:p>
    <w:p w14:paraId="78F5F127"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0E315078" w14:textId="77777777" w:rsidR="00AD48AA" w:rsidRPr="00AD48AA" w:rsidRDefault="00AD48AA" w:rsidP="00AD48AA">
      <w:pPr>
        <w:numPr>
          <w:ilvl w:val="0"/>
          <w:numId w:val="1"/>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Seção do Tratado:</w:t>
      </w:r>
      <w:r w:rsidRPr="00AD48AA">
        <w:rPr>
          <w:rFonts w:ascii="Arial" w:eastAsia="Times New Roman" w:hAnsi="Arial" w:cs="Arial"/>
          <w:color w:val="1F1F1F"/>
          <w:kern w:val="0"/>
          <w14:ligatures w14:val="none"/>
        </w:rPr>
        <w:t xml:space="preserve"> Deformidades Vertebrais / Escoliose Neuromuscular</w:t>
      </w:r>
    </w:p>
    <w:p w14:paraId="14E8CECF"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42528C0D" w14:textId="77777777" w:rsidR="00AD48AA" w:rsidRPr="00AD48AA" w:rsidRDefault="00AD48AA" w:rsidP="00AD48AA">
      <w:pPr>
        <w:numPr>
          <w:ilvl w:val="0"/>
          <w:numId w:val="1"/>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Autores:</w:t>
      </w:r>
    </w:p>
    <w:p w14:paraId="73D3B90B"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1C6ED189" w14:textId="77777777" w:rsidR="00AD48AA" w:rsidRPr="00AD48AA" w:rsidRDefault="00AD48AA" w:rsidP="00AD48AA">
      <w:pPr>
        <w:numPr>
          <w:ilvl w:val="1"/>
          <w:numId w:val="1"/>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Alexander Junqueira Rossato</w:t>
      </w:r>
    </w:p>
    <w:p w14:paraId="626935E1"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7944F305" w14:textId="77777777" w:rsidR="00AD48AA" w:rsidRPr="00AD48AA" w:rsidRDefault="00AD48AA" w:rsidP="00AD48AA">
      <w:pPr>
        <w:numPr>
          <w:ilvl w:val="1"/>
          <w:numId w:val="1"/>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Mauricio Coelho Lima</w:t>
      </w:r>
    </w:p>
    <w:p w14:paraId="652BF170"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61DA41CF" w14:textId="77777777" w:rsidR="00AD48AA" w:rsidRPr="00AD48AA" w:rsidRDefault="00AD48AA" w:rsidP="00AD48AA">
      <w:pPr>
        <w:numPr>
          <w:ilvl w:val="1"/>
          <w:numId w:val="1"/>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Paulo Tadeu Maia Cavali</w:t>
      </w:r>
    </w:p>
    <w:p w14:paraId="0D1B802A"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73107630"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Contexto</w:t>
      </w:r>
    </w:p>
    <w:p w14:paraId="599312B6"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O tratamento da escoliose neuromuscular em pacientes pediátricos e adolescentes representa um grande desafio na cirurgia da coluna vertebral. Deformidades de início precoce apresentam progressão rápida durante o estirão de crescimento puberal e continuam a se deteriorar na vida adulta. As abordagens conservadoras mostram eficácia limitada, resultando em curvas graves e progressivas associadas à obliquidade pélvica. Essas alterações comprometem o equilíbrio do tronco na postura sentada, reduzem a autonomia funcional dos membros superiores, prejudicam a função respiratória e alteram o trânsito intestinal. Embora a artrodese posterior longa com parafusos pediculares seja o padrão-ouro em pacientes maduros, seu emprego precoce limita a expansão torácica e o crescimento vertebral. Por outro lado, os sistemas de hastes de crescimento tradicionais (</w:t>
      </w:r>
      <w:r w:rsidRPr="00AD48AA">
        <w:rPr>
          <w:rFonts w:ascii="Arial" w:eastAsia="Times New Roman" w:hAnsi="Arial" w:cs="Arial"/>
          <w:i/>
          <w:iCs/>
          <w:color w:val="1F1F1F"/>
          <w:kern w:val="0"/>
          <w:bdr w:val="none" w:sz="0" w:space="0" w:color="auto" w:frame="1"/>
          <w14:ligatures w14:val="none"/>
        </w:rPr>
        <w:t>traditional growing rods</w:t>
      </w:r>
      <w:r w:rsidRPr="00AD48AA">
        <w:rPr>
          <w:rFonts w:ascii="Arial" w:eastAsia="Times New Roman" w:hAnsi="Arial" w:cs="Arial"/>
          <w:color w:val="1F1F1F"/>
          <w:kern w:val="0"/>
          <w14:ligatures w14:val="none"/>
        </w:rPr>
        <w:t xml:space="preserve"> – TGR) apresentam taxas elevadas de complicações, variando entre 40% e 73%, tais como fraturas do material, soltura de implantes e infecções, além de exigir múltiplas reoperações para distração periódica. Nesse cenário, a técnica de fixação bipolar surge como uma alternativa modular e menos invasiva, permitindo o controle tridimensional da deformidade com preservação do crescimento.</w:t>
      </w:r>
    </w:p>
    <w:p w14:paraId="7A41B2F2"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457ADE28"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Objetivo do capítulo</w:t>
      </w:r>
    </w:p>
    <w:p w14:paraId="15A9821F"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O capítulo visa capacitar cirurgiões de coluna, ortopedistas e neurocirurgiões no entendimento teórico e prático da técnica de fixação bipolar para escoliose neuromuscular. O leitor aprenderá a selecionar candidatos adequados, reconhecer indicações e contraindicações, compreender os conceitos biomecânicos dos polos proximal e distal, dominar os passos da técnica cirúrgica com e sem conector de autodistração (</w:t>
      </w:r>
      <w:r w:rsidRPr="00AD48AA">
        <w:rPr>
          <w:rFonts w:ascii="Arial" w:eastAsia="Times New Roman" w:hAnsi="Arial" w:cs="Arial"/>
          <w:i/>
          <w:iCs/>
          <w:color w:val="1F1F1F"/>
          <w:kern w:val="0"/>
          <w:bdr w:val="none" w:sz="0" w:space="0" w:color="auto" w:frame="1"/>
          <w14:ligatures w14:val="none"/>
        </w:rPr>
        <w:t>New Expandable Mechanically Operated Sliding Tool</w:t>
      </w:r>
      <w:r w:rsidRPr="00AD48AA">
        <w:rPr>
          <w:rFonts w:ascii="Arial" w:eastAsia="Times New Roman" w:hAnsi="Arial" w:cs="Arial"/>
          <w:color w:val="1F1F1F"/>
          <w:kern w:val="0"/>
          <w14:ligatures w14:val="none"/>
        </w:rPr>
        <w:t xml:space="preserve"> – NEMOST), prevenir e gerenciar complicações mecânicas ou infecciosas e identificar o papel de tecnologias emergentes, como a navegação robótica.</w:t>
      </w:r>
    </w:p>
    <w:p w14:paraId="22F18DB8"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lastRenderedPageBreak/>
        <w:br/>
      </w:r>
    </w:p>
    <w:p w14:paraId="27D69700"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Conteúdo principal</w:t>
      </w:r>
    </w:p>
    <w:p w14:paraId="6E6B9597" w14:textId="77777777" w:rsidR="00AD48AA" w:rsidRPr="00AD48AA" w:rsidRDefault="00AD48AA" w:rsidP="00AD48AA">
      <w:pPr>
        <w:spacing w:after="0" w:line="240" w:lineRule="auto"/>
        <w:outlineLvl w:val="3"/>
        <w:rPr>
          <w:rFonts w:ascii="Arial" w:eastAsia="Times New Roman" w:hAnsi="Arial" w:cs="Arial"/>
          <w:b/>
          <w:bCs/>
          <w:color w:val="1F1F1F"/>
          <w:kern w:val="0"/>
          <w14:ligatures w14:val="none"/>
        </w:rPr>
      </w:pPr>
      <w:r w:rsidRPr="00AD48AA">
        <w:rPr>
          <w:rFonts w:ascii="Arial" w:eastAsia="Times New Roman" w:hAnsi="Arial" w:cs="Arial"/>
          <w:b/>
          <w:bCs/>
          <w:color w:val="1F1F1F"/>
          <w:kern w:val="0"/>
          <w14:ligatures w14:val="none"/>
        </w:rPr>
        <w:t>Conceitos Biomecânicos e Estrutura do Implante</w:t>
      </w:r>
    </w:p>
    <w:p w14:paraId="3056C3B5"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 xml:space="preserve">A fixação bipolar baseia-se em uma montagem modular sem fusão do segmento intermediário da coluna, ancorada em dois polos principais interconectados por duas hastes longitudinais de 5,5 mm (titânio ou cobalto-cromo) e conectores transversais (FIGURA 1). O polo proximal é constituído por ganchos torácicos supralaminares e pediculares dispostos na configuração de </w:t>
      </w:r>
      <w:r w:rsidRPr="00AD48AA">
        <w:rPr>
          <w:rFonts w:ascii="Arial" w:eastAsia="Times New Roman" w:hAnsi="Arial" w:cs="Arial"/>
          <w:i/>
          <w:iCs/>
          <w:color w:val="1F1F1F"/>
          <w:kern w:val="0"/>
          <w:bdr w:val="none" w:sz="0" w:space="0" w:color="auto" w:frame="1"/>
          <w14:ligatures w14:val="none"/>
        </w:rPr>
        <w:t>"duplo claw"</w:t>
      </w:r>
      <w:r w:rsidRPr="00AD48AA">
        <w:rPr>
          <w:rFonts w:ascii="Arial" w:eastAsia="Times New Roman" w:hAnsi="Arial" w:cs="Arial"/>
          <w:color w:val="1F1F1F"/>
          <w:kern w:val="0"/>
          <w14:ligatures w14:val="none"/>
        </w:rPr>
        <w:t xml:space="preserve"> (dupla garra) em dois níveis separados por uma vértebra livre, o que proporciona elevada resistência ao arrancamento e às forças rotacionais. O polo distal pélvico emprega parafusos iliossacrais canulados (sistema TANIT) introduzidos por técnica minimamente invasiva, transfixando o osso ilíaco até o corpo de S1 através de conectores multidirecionais. A montagem adquire uma geometria em "torre Eiffel", otimizando a distribuição de cargas. Para pacientes esqueleticamente imaturos, o sistema pode incorporar o conector de autodistração NEMOST (FIGURA 2), composto por uma haste denteada e um dominó deslizante unidirecional que avança aproximadamente 1 mm progressivamente com o crescimento do paciente, dispensando reoperações repetidas para alongamento.</w:t>
      </w:r>
    </w:p>
    <w:p w14:paraId="0B9EC85B"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6578F71D" w14:textId="77777777" w:rsidR="00AD48AA" w:rsidRPr="00AD48AA" w:rsidRDefault="00AD48AA" w:rsidP="00AD48AA">
      <w:pPr>
        <w:spacing w:after="0" w:line="240" w:lineRule="auto"/>
        <w:outlineLvl w:val="3"/>
        <w:rPr>
          <w:rFonts w:ascii="Arial" w:eastAsia="Times New Roman" w:hAnsi="Arial" w:cs="Arial"/>
          <w:b/>
          <w:bCs/>
          <w:color w:val="1F1F1F"/>
          <w:kern w:val="0"/>
          <w14:ligatures w14:val="none"/>
        </w:rPr>
      </w:pPr>
      <w:r w:rsidRPr="00AD48AA">
        <w:rPr>
          <w:rFonts w:ascii="Arial" w:eastAsia="Times New Roman" w:hAnsi="Arial" w:cs="Arial"/>
          <w:b/>
          <w:bCs/>
          <w:color w:val="1F1F1F"/>
          <w:kern w:val="0"/>
          <w14:ligatures w14:val="none"/>
        </w:rPr>
        <w:t>Indicações e Contraindicações</w:t>
      </w:r>
    </w:p>
    <w:p w14:paraId="6CAD0C3E"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 técnica é indicada para pacientes imaturos (&gt; 18 kg) com escolioses progressivas (&gt; 50°) de etiologia neuromuscular, sindrômica ou congênita complexa, visando preservar o desenvolvimento pulmonar e torácico. Destaca-se também em pacientes neuromusculares de baixo peso, desnutridos ou gravemente comprometidos, considerados inoperáveis para artrodese longa convencional devido ao alto risco cirúrgico e sangramento. É aplicada ainda como procedimento de resgate em falhas mecânicas de hastes de crescimento tradicionais. As contraindicações absolutas incluem deformidades rígidas com fusão óssea ou anquilose prévia, deformidades congênitas complexas com falhas de segmentação extensas (ex.: síndromes de Klippel-Feil ou Jarcho-Levin), infecção ativa, peso inferior a 18 kg (risco elevado de proeminência do implante, dor e deiscência de pele) e expectativa de vida extremamente reduzida.</w:t>
      </w:r>
    </w:p>
    <w:p w14:paraId="45BB9844"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48CD3834" w14:textId="77777777" w:rsidR="00AD48AA" w:rsidRPr="00AD48AA" w:rsidRDefault="00AD48AA" w:rsidP="00AD48AA">
      <w:pPr>
        <w:spacing w:after="0" w:line="240" w:lineRule="auto"/>
        <w:outlineLvl w:val="3"/>
        <w:rPr>
          <w:rFonts w:ascii="Arial" w:eastAsia="Times New Roman" w:hAnsi="Arial" w:cs="Arial"/>
          <w:b/>
          <w:bCs/>
          <w:color w:val="1F1F1F"/>
          <w:kern w:val="0"/>
          <w14:ligatures w14:val="none"/>
        </w:rPr>
      </w:pPr>
      <w:r w:rsidRPr="00AD48AA">
        <w:rPr>
          <w:rFonts w:ascii="Arial" w:eastAsia="Times New Roman" w:hAnsi="Arial" w:cs="Arial"/>
          <w:b/>
          <w:bCs/>
          <w:color w:val="1F1F1F"/>
          <w:kern w:val="0"/>
          <w14:ligatures w14:val="none"/>
        </w:rPr>
        <w:t>Detalhes Técnicos e Variações Individuais</w:t>
      </w:r>
    </w:p>
    <w:p w14:paraId="03F1F205"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 cirurgia é realizada sob anestesia geral e neuromonitorização em decúbito ventral. Utilizam-se duas incisões posteriores em linha média (torácica e lombossacra/pélvica) com dissecção intramuscular preservadora (via de Wiltse na região distal). As hastes são moldadas e passadas no plano submuscular, corrigindo a deformidade por manobras de cantilever e tração/compressão assimétrica. Em pacientes não deambuladores com obliquidade pélvica, prioriza-se a fixação pélvica com parafusos iliossacrais para reestabelecer o alinhamento espinopélvico e o equilíbrio sentado. Em pacientes deambuladores, utiliza-se a fixação distal lombar com parafusos pediculares (2 a 3 níveis), preservando a mobilidade lombossacra e a marcha.</w:t>
      </w:r>
    </w:p>
    <w:p w14:paraId="73DE5619"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lastRenderedPageBreak/>
        <w:br/>
      </w:r>
    </w:p>
    <w:p w14:paraId="3399E456" w14:textId="77777777" w:rsidR="00AD48AA" w:rsidRPr="00AD48AA" w:rsidRDefault="00AD48AA" w:rsidP="00AD48AA">
      <w:pPr>
        <w:spacing w:after="0" w:line="240" w:lineRule="auto"/>
        <w:outlineLvl w:val="3"/>
        <w:rPr>
          <w:rFonts w:ascii="Arial" w:eastAsia="Times New Roman" w:hAnsi="Arial" w:cs="Arial"/>
          <w:b/>
          <w:bCs/>
          <w:color w:val="1F1F1F"/>
          <w:kern w:val="0"/>
          <w14:ligatures w14:val="none"/>
        </w:rPr>
      </w:pPr>
      <w:r w:rsidRPr="00AD48AA">
        <w:rPr>
          <w:rFonts w:ascii="Arial" w:eastAsia="Times New Roman" w:hAnsi="Arial" w:cs="Arial"/>
          <w:b/>
          <w:bCs/>
          <w:color w:val="1F1F1F"/>
          <w:kern w:val="0"/>
          <w14:ligatures w14:val="none"/>
        </w:rPr>
        <w:t>Resultados Clínicos, Complicações e Perspectivas</w:t>
      </w:r>
    </w:p>
    <w:p w14:paraId="31D97642"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Estudos com seguimento superior a 5 anos evidenciam redução do ângulo de Cobb superior a 50%, correção da obliquidade pélvica entre 70% e 77% e ganho de altura vertebral de até 1,5 mm/mês com o conector automático. Ocorrem menores taxas de complicações e menor perda sanguínea comparadas à fusão tradicional. A anquilose peri-implante progressiva frequentemente torna desnecessária a artrodese final programada. As complicações incluem infecções superficiais, soltura de implantes, proeminência sintomática do material e travamento do mecanismo de autodistração decorrente de falhas no alinhamento sagital, rotação axial das hastes ou interferência óssea. O futuro da técnica aponta para o uso de navegação 3D e robótica para inserção precisa dos parafusos iliossacrais e ganchos, ligas metálicas otimizadas e superfícies biocompatíveis.</w:t>
      </w:r>
    </w:p>
    <w:p w14:paraId="7E9A9299"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0AF6E282"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Aplicação clínica</w:t>
      </w:r>
    </w:p>
    <w:p w14:paraId="3C5C507F"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 aplicação clínica da fixação bipolar requer uma triagem rigorosa do paciente neuromuscular. O planejamento deve fundamentar-se em radiografias panorâmicas e tomografia computadorizada para mapear a anatomia pedicular, laminar e ilíaca. Na tomada de decisão, a definição do polo distal correlaciona-se com a capacidade funcional: pacientes deambuladores devem receber fixação distal lombar para preservar a função da pelve na marcha, enquanto não deambuladores exigem ancoragem pélvica com parafusos iliossacrais para corrigir a obliquidade e otimizar a postura sentada. Durante a execução técnica, o cirurgião deve utilizar fluoroscopia contínua ou navegação para garantir a transfixação ilíaca segura até S1 e certificar-se da ausência de conflito do canal medular na inserção dos ganchos proximais. No uso do conector de autodistração NEMOST, é obrigatório testar o livre deslizamento mecânico do dominó antes do fechamento por planos, assegurando que o contorno sagital e a rotação das hastes não gerem atrito excessivo. O acompanhamento pós-operatório deve monitorar a evolução do alinhamento espinopélvico, a integridade da pele em pacientes emagrecidos e a progressão contínua do autoalongamento.</w:t>
      </w:r>
    </w:p>
    <w:p w14:paraId="3C88E59D"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6ADD8AD4"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Mensagem central</w:t>
      </w:r>
    </w:p>
    <w:p w14:paraId="5023DC34"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 técnica de fixação bipolar representa uma solução cirúrgica eficaz e menos invasiva para o manejo da escoliose neuromuscular grave em pacientes esqueleticamente imaturos ou clinicamente frágeis. Ao combinar polos de ancoragem proximal em duplo claw e distal com parafusos iliossacrais sem fusão do segmento intermediário — associados ou não a conectores de autodistração —, o método promove a correção tridimensional da curva e da obliquidade pélvica, preserva o crescimento toracovertebral, reduz complicações e reoperações e consolida-se frequentemente como tratamento definitivo sem necessidade de artrodese posterior final.</w:t>
      </w:r>
    </w:p>
    <w:p w14:paraId="0AC39408"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0C12A1EB"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Janela de destaque — Por que este capítulo importa</w:t>
      </w:r>
    </w:p>
    <w:p w14:paraId="41DA71E3"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lastRenderedPageBreak/>
        <w:t>A escoliose neuromuscular grave em crianças e adolescentes impõe desafios complexos devido à fragilidade clínica e ao risco elevado de complicações com técnicas tradicionais de fusão ou hastes de crescimento. Este capítulo detalha uma abordagem cirúrgica modular que equilibra correção tridimensional eficaz, preservação do crescimento torácico e baixa agressividade cirúrgica. Dominar a técnica bipolar, o correto posicionamento dos polos e a aplicação dos conectores de autodistração capacita o cirurgião a tratar com segurança pacientes graves ou antes considerados inoperáveis, reduzindo reoperações, prevenindo falhas mecânicas e melhorando expressivamente a qualidade de vida e a função postural.</w:t>
      </w:r>
    </w:p>
    <w:p w14:paraId="744FF02C"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39BDB89A"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Palavras-chave e descritores</w:t>
      </w:r>
    </w:p>
    <w:p w14:paraId="3E5FC616" w14:textId="77777777" w:rsidR="00AD48AA" w:rsidRPr="00AD48AA" w:rsidRDefault="00AD48AA" w:rsidP="00AD48AA">
      <w:pPr>
        <w:numPr>
          <w:ilvl w:val="0"/>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Descritores DeCS (Português):</w:t>
      </w:r>
    </w:p>
    <w:p w14:paraId="7B3F012C"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3B1CE441"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Escoliose</w:t>
      </w:r>
    </w:p>
    <w:p w14:paraId="5E6D6169"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253EE425"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Doenças Neuromusculares</w:t>
      </w:r>
    </w:p>
    <w:p w14:paraId="78C3219A"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70ECF9B1"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Procedimentos Cirúrgicos Operatórios</w:t>
      </w:r>
    </w:p>
    <w:p w14:paraId="4E33F8F4"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3AE29A02"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Deformidades da Coluna Vertebral</w:t>
      </w:r>
    </w:p>
    <w:p w14:paraId="223B11C0"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4F24B01E"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Implantes Espinais</w:t>
      </w:r>
    </w:p>
    <w:p w14:paraId="4D853FAC"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0BE87BFC"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Fusão Espinal</w:t>
      </w:r>
    </w:p>
    <w:p w14:paraId="70E9257F"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3B5066C2"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Paralisia Cerebral</w:t>
      </w:r>
    </w:p>
    <w:p w14:paraId="1682F06E"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384E582B" w14:textId="77777777" w:rsidR="00AD48AA" w:rsidRPr="00AD48AA" w:rsidRDefault="00AD48AA" w:rsidP="00AD48AA">
      <w:pPr>
        <w:numPr>
          <w:ilvl w:val="0"/>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Descritores MeSH Correspondentes (Inglês):</w:t>
      </w:r>
    </w:p>
    <w:p w14:paraId="309949E8"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03B50C6C"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Scoliosis</w:t>
      </w:r>
    </w:p>
    <w:p w14:paraId="53AA351E"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43C4AE58"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Neuromuscular Diseases</w:t>
      </w:r>
    </w:p>
    <w:p w14:paraId="6B6135C4"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0B588B34"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Surgical Procedures, Operative</w:t>
      </w:r>
    </w:p>
    <w:p w14:paraId="5EE10C0D"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7A983778"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Spinal Curvatures</w:t>
      </w:r>
    </w:p>
    <w:p w14:paraId="3C94F440"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396B0641"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Spinal Implants</w:t>
      </w:r>
    </w:p>
    <w:p w14:paraId="59DBBEA2"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5E2D3094"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Spinal Fusion</w:t>
      </w:r>
    </w:p>
    <w:p w14:paraId="06AD94E8"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4C36346A" w14:textId="77777777" w:rsidR="00AD48AA" w:rsidRPr="00AD48AA" w:rsidRDefault="00AD48AA" w:rsidP="00AD48AA">
      <w:pPr>
        <w:numPr>
          <w:ilvl w:val="1"/>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Cerebral Palsy</w:t>
      </w:r>
    </w:p>
    <w:p w14:paraId="56859FD2" w14:textId="77777777" w:rsidR="00AD48AA" w:rsidRPr="00AD48AA" w:rsidRDefault="00AD48AA" w:rsidP="00AD48AA">
      <w:pPr>
        <w:spacing w:after="0" w:line="240" w:lineRule="auto"/>
        <w:ind w:left="1440"/>
        <w:rPr>
          <w:rFonts w:ascii="Arial" w:eastAsia="Times New Roman" w:hAnsi="Arial" w:cs="Arial"/>
          <w:color w:val="1F1F1F"/>
          <w:kern w:val="0"/>
          <w14:ligatures w14:val="none"/>
        </w:rPr>
      </w:pPr>
    </w:p>
    <w:p w14:paraId="5F5128E8" w14:textId="77777777" w:rsidR="00AD48AA" w:rsidRPr="00AD48AA" w:rsidRDefault="00AD48AA" w:rsidP="00AD48AA">
      <w:pPr>
        <w:numPr>
          <w:ilvl w:val="0"/>
          <w:numId w:val="2"/>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lastRenderedPageBreak/>
        <w:t>Palavras-chave Livres Adicionais:</w:t>
      </w:r>
      <w:r w:rsidRPr="00AD48AA">
        <w:rPr>
          <w:rFonts w:ascii="Arial" w:eastAsia="Times New Roman" w:hAnsi="Arial" w:cs="Arial"/>
          <w:color w:val="1F1F1F"/>
          <w:kern w:val="0"/>
          <w14:ligatures w14:val="none"/>
        </w:rPr>
        <w:t xml:space="preserve"> Fixação bipolar, Conector de autodistração (NEMOST), Parafuso iliossacral (TANIT), Hastes de crescimento.</w:t>
      </w:r>
    </w:p>
    <w:p w14:paraId="479B4285"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2A53B3EC"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Três cards de destaque</w:t>
      </w:r>
    </w:p>
    <w:p w14:paraId="682A22C6" w14:textId="77777777" w:rsidR="00AD48AA" w:rsidRPr="00AD48AA" w:rsidRDefault="00AD48AA" w:rsidP="00AD48AA">
      <w:pPr>
        <w:spacing w:after="0" w:line="240" w:lineRule="auto"/>
        <w:outlineLvl w:val="3"/>
        <w:rPr>
          <w:rFonts w:ascii="Arial" w:eastAsia="Times New Roman" w:hAnsi="Arial" w:cs="Arial"/>
          <w:b/>
          <w:bCs/>
          <w:color w:val="1F1F1F"/>
          <w:kern w:val="0"/>
          <w14:ligatures w14:val="none"/>
        </w:rPr>
      </w:pPr>
      <w:r w:rsidRPr="00AD48AA">
        <w:rPr>
          <w:rFonts w:ascii="Arial" w:eastAsia="Times New Roman" w:hAnsi="Arial" w:cs="Arial"/>
          <w:b/>
          <w:bCs/>
          <w:color w:val="1F1F1F"/>
          <w:kern w:val="0"/>
          <w14:ligatures w14:val="none"/>
        </w:rPr>
        <w:t>Card 1 — Ancoragem Bipolar Sem Fusão Intermediária</w:t>
      </w:r>
    </w:p>
    <w:p w14:paraId="3384EF0E"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 fixação bipolar combina um polo proximal em duplo claw torácico e um polo distal pélvico iliossacral ou lombar, conectados por hastes longitudinais sem fusão do segmento vertebral intermediário. Essa arquitetura modular preserva o crescimento da coluna e do tórax, reduz a formação de fibrose precoce e oferece excelente estabilidade mecânica tridimensional para o controle de deformidades neuromusculares graves.</w:t>
      </w:r>
    </w:p>
    <w:p w14:paraId="0DD3BFDC"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0F741140" w14:textId="77777777" w:rsidR="00AD48AA" w:rsidRPr="00AD48AA" w:rsidRDefault="00AD48AA" w:rsidP="00AD48AA">
      <w:pPr>
        <w:spacing w:after="0" w:line="240" w:lineRule="auto"/>
        <w:outlineLvl w:val="3"/>
        <w:rPr>
          <w:rFonts w:ascii="Arial" w:eastAsia="Times New Roman" w:hAnsi="Arial" w:cs="Arial"/>
          <w:b/>
          <w:bCs/>
          <w:color w:val="1F1F1F"/>
          <w:kern w:val="0"/>
          <w14:ligatures w14:val="none"/>
        </w:rPr>
      </w:pPr>
      <w:r w:rsidRPr="00AD48AA">
        <w:rPr>
          <w:rFonts w:ascii="Arial" w:eastAsia="Times New Roman" w:hAnsi="Arial" w:cs="Arial"/>
          <w:b/>
          <w:bCs/>
          <w:color w:val="1F1F1F"/>
          <w:kern w:val="0"/>
          <w14:ligatures w14:val="none"/>
        </w:rPr>
        <w:t>Card 2 — Seleção do Polo Distal por Funcionalidade</w:t>
      </w:r>
    </w:p>
    <w:p w14:paraId="72C66BCF"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 escolha da ancoragem inferior fundamenta-se na capacidade de deambulação do paciente. Para não deambuladores com obliquidade pélvica, indica-se a fixação pélvica com parafusos iliossacrais (sistema TANIT) para estabilizar a postura sentada. Já em pacientes deambuladores, prioriza-se a fixação distal em parafusos pediculares lombares (2 a 3 níveis), preservando a mobilidade espinopélvica essencial para a marcha.</w:t>
      </w:r>
    </w:p>
    <w:p w14:paraId="4122E0CE"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72171B5F" w14:textId="77777777" w:rsidR="00AD48AA" w:rsidRPr="00AD48AA" w:rsidRDefault="00AD48AA" w:rsidP="00AD48AA">
      <w:pPr>
        <w:spacing w:after="0" w:line="240" w:lineRule="auto"/>
        <w:outlineLvl w:val="3"/>
        <w:rPr>
          <w:rFonts w:ascii="Arial" w:eastAsia="Times New Roman" w:hAnsi="Arial" w:cs="Arial"/>
          <w:b/>
          <w:bCs/>
          <w:color w:val="1F1F1F"/>
          <w:kern w:val="0"/>
          <w14:ligatures w14:val="none"/>
        </w:rPr>
      </w:pPr>
      <w:r w:rsidRPr="00AD48AA">
        <w:rPr>
          <w:rFonts w:ascii="Arial" w:eastAsia="Times New Roman" w:hAnsi="Arial" w:cs="Arial"/>
          <w:b/>
          <w:bCs/>
          <w:color w:val="1F1F1F"/>
          <w:kern w:val="0"/>
          <w14:ligatures w14:val="none"/>
        </w:rPr>
        <w:t>Card 3 — Prevenção do Bloqueio do Conector Automático</w:t>
      </w:r>
    </w:p>
    <w:p w14:paraId="7B81F1DC"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A principal complicação do conector de autodistração (NEMOST) é o travamento do mecanismo deslizante. Para evitar essa falha, o cirurgião deve assegurar a modelagem sagital harmônica das hastes, impedir a rotação axial incorreta, evitar o atrito com processos espinhosos ou pontes ósseas e realizar obrigatoriamente um teste manual de distração antes do fechamento definitivo dos planos cirúrgicos.</w:t>
      </w:r>
    </w:p>
    <w:p w14:paraId="432889C5" w14:textId="77777777" w:rsidR="00AD48AA" w:rsidRPr="00AD48AA" w:rsidRDefault="00AD48AA" w:rsidP="00AD48AA">
      <w:p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br/>
      </w:r>
    </w:p>
    <w:p w14:paraId="053A265C"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Referências bibliográficas</w:t>
      </w:r>
    </w:p>
    <w:p w14:paraId="22DE3818"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Palmisani M, Dema E, Palmisani R, Cervellati S. Il trattamento chirurgico delle deformità vertebrali neuromuscolari con accesso mininvasivo senza artrodesi: una tecnica innovativa. G Ital Ortop Traumatol. 2020;46:161–8.</w:t>
      </w:r>
    </w:p>
    <w:p w14:paraId="421AABB0"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143956E8"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Hägglund G, Pettersson K, Czuba T, Rodby-Bousquet E. Incidence of scoliosis in cerebral palsy. Acta Orthop. 2018;89(4):443–7. doi:10.1080/17453674.2018.1450091.</w:t>
      </w:r>
    </w:p>
    <w:p w14:paraId="76C7BF32"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67FED4DA"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Mary P, Servais L, Vialle R. Neuromuscular disease: diagnosis and management. Orthop Traumatol Surg Res. 2018;104(1 Suppl):S89–95. doi:10.1016/j.otsr.2017.04.019.</w:t>
      </w:r>
    </w:p>
    <w:p w14:paraId="36389A6B"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3488D1F0"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Maid M, Muldowny D, Holt R. Natural history of scoliosis in the institutionalized adult cerebral palsy population. Spine (Phila Pa 1976). 1997;22(13):1461–6. doi:10.1097/00007632-199707010-00007.</w:t>
      </w:r>
    </w:p>
    <w:p w14:paraId="7FEAC092"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6BEA9FD1"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Granata C, Marini ML, Capelli T, Merlini L. Natural history of scoliosis in spinal muscular atrophy and results of orthopaedic treatment. In: Merlini L, Granata C, Dubowitz V, editors. Current concepts in childhood spinal muscular atrophy. Wien: Springer-Verlag; 1989. p. 153–70.</w:t>
      </w:r>
    </w:p>
    <w:p w14:paraId="2301FBA8"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1E2010B5"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Cavali PTM, Rossato AJ, Lima MC. Deformidades paralíticas da coluna vertebral. In: Hebert S, Lech O, editores. Ortopedia e Traumatologia: Princípios e Prática. 6ª ed. Rio de Janeiro: Di Livros; 2024. p. 167–76.</w:t>
      </w:r>
    </w:p>
    <w:p w14:paraId="4F2DBDD4"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28D85232"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Yang JS, Sponseller PD, Thompson GH, Akbarnia BA, Emans JB, Yazici M, et al. Growing rod fractures: risk factors and opportunities for prevention. Spine (Phila Pa 1976). 2011;36(20):1639–44. doi:10.1097/BRS.0b013e31822a982f.</w:t>
      </w:r>
    </w:p>
    <w:p w14:paraId="0DD61C63"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6A0BBBBB"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Gaume M, Vergari C, Khouri N, Skalli W, Glorion C, Miladi L. Minimally invasive surgery for neuromuscular scoliosis: results and complications at a minimal follow-up of 5 years. Spine (Phila Pa 1976). 2021;46(24):1696–704.</w:t>
      </w:r>
    </w:p>
    <w:p w14:paraId="5F2DF6DC"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01642E6B"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Polly DW Jr, Ackerman SJ, Schneider K, Pawelek JB, Akbarnia BA. Cost analysis of magnetically controlled growing rods compared with traditional growing rods for early-onset scoliosis in the US: an integrated health care delivery system perspective. Clinicoecon Outcomes Res. 2016;8:457–65.</w:t>
      </w:r>
    </w:p>
    <w:p w14:paraId="7B555FD6"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154A91F4"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Luhmann SJ, McAughey E, Ackerman SJ, Bumpass DB, McCarthy RE. Cost analysis of a growth guidance system compared with traditional and magnetically controlled growing rods for early-onset scoliosis. Clinicoecon Outcomes Res. 2018;10:179–87.</w:t>
      </w:r>
    </w:p>
    <w:p w14:paraId="68CDEA39"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3E9F6978"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Gaume M, Gerard P, Khouri N, Glorion C, Dubousset J, Miladi L. Long-term outcomes of ilio-sacral screws in minimally invasive bipolar fusionless technique for neuromuscular scoliosis: a retrospective study in 167 patients. Arch Orthop Trauma Surg. 2022;142(8):1773–82.</w:t>
      </w:r>
    </w:p>
    <w:p w14:paraId="049DF57E"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3ADF8E88"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Gaume M, Persohn S, Vergari C, Glorion C, Skalli W, Miladi L. Biomechanical cadaver study of proximal fixation in a minimally invasive bipolar construct. Spine Deform. 2020;8(2):307–13.</w:t>
      </w:r>
    </w:p>
    <w:p w14:paraId="2D6BD43E"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1CBA2A63"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Gaume M, Hajj R, Khouri N, Johnson MB, Miladi L. One-way self-expanding rod in neuromuscular scoliosis: preliminary results of a prospective series of 21 patients. JBJS Open Access. 2021;6(2):e21.00089.</w:t>
      </w:r>
    </w:p>
    <w:p w14:paraId="2CF8E5F7"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639B11F0"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Gaume M, Khouri N, Glorion C, Miladi L. Minimally invasive bipolar instrumentation for neuromuscular scoliosis: does it avoid final spinal fusion? Spine (Phila Pa 1976). 2020;45(12):E721–9.</w:t>
      </w:r>
    </w:p>
    <w:p w14:paraId="4F0C22E4"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1FA36497"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lastRenderedPageBreak/>
        <w:t>Miladi L, Gaume M, Khouri N, Glorion C. Bipolar instrumentation: a safe salvage technique for failed traditional growing rods in pediatric spinal deformities. Children (Basel). 2024;11(4):512. doi:10.3390/children11040512.</w:t>
      </w:r>
    </w:p>
    <w:p w14:paraId="5A56AD93"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4A4DCD7F"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Miladi L, Gaume M, Vergari C, Glorion C, Khouri N. Two-year follow-up of the New Expandable Mechanically Operated Sliding Tool (NEMOST) in early-onset neuromuscular scoliosis. J Orthop Surg Res. 2024;19:164. doi:10.1186/s13018-024-04058-5.</w:t>
      </w:r>
    </w:p>
    <w:p w14:paraId="25D16CF6"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6E4DDB74"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Haveman RA, Hofmann KJ, Swenson DW, Gardner MJ. Accuracy in navigated percutaneous sacroiliac screw fixation: a systematic review and meta-analysis. Injury. 2025;56(1):12–22. doi:10.1016/j.injury.2024.12.018.</w:t>
      </w:r>
    </w:p>
    <w:p w14:paraId="3BE8D2EC"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6DF08338" w14:textId="77777777" w:rsidR="00AD48AA" w:rsidRPr="00AD48AA" w:rsidRDefault="00AD48AA" w:rsidP="00AD48AA">
      <w:pPr>
        <w:numPr>
          <w:ilvl w:val="0"/>
          <w:numId w:val="3"/>
        </w:numPr>
        <w:spacing w:after="0" w:line="240" w:lineRule="auto"/>
        <w:rPr>
          <w:rFonts w:ascii="Arial" w:eastAsia="Times New Roman" w:hAnsi="Arial" w:cs="Arial"/>
          <w:color w:val="1F1F1F"/>
          <w:kern w:val="0"/>
          <w14:ligatures w14:val="none"/>
        </w:rPr>
      </w:pPr>
      <w:r w:rsidRPr="00AD48AA">
        <w:rPr>
          <w:rFonts w:ascii="Arial" w:eastAsia="Times New Roman" w:hAnsi="Arial" w:cs="Arial"/>
          <w:color w:val="1F1F1F"/>
          <w:kern w:val="0"/>
          <w14:ligatures w14:val="none"/>
        </w:rPr>
        <w:t>Wang JQ, Fan Y, Zhang Z, Xu ZW, Wang Q, Feng Y. A prospective randomized comparison of robot-assisted versus freehand technique for sacroiliac screw placement. Int Orthop. 2017;41(9):1815–22. doi:10.1007/s00264-017-3550-1</w:t>
      </w:r>
    </w:p>
    <w:p w14:paraId="3EE6F33B"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70B7096C"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38F173EA" w14:textId="77777777" w:rsidR="00AD48AA" w:rsidRPr="00AD48AA" w:rsidRDefault="00AD48AA" w:rsidP="00AD48AA">
      <w:pPr>
        <w:spacing w:after="0" w:line="240" w:lineRule="auto"/>
        <w:outlineLvl w:val="2"/>
        <w:rPr>
          <w:rFonts w:ascii="Arial" w:eastAsia="Times New Roman" w:hAnsi="Arial" w:cs="Arial"/>
          <w:b/>
          <w:bCs/>
          <w:color w:val="1F1F1F"/>
          <w:kern w:val="0"/>
          <w:sz w:val="27"/>
          <w:szCs w:val="27"/>
          <w14:ligatures w14:val="none"/>
        </w:rPr>
      </w:pPr>
      <w:r w:rsidRPr="00AD48AA">
        <w:rPr>
          <w:rFonts w:ascii="Arial" w:eastAsia="Times New Roman" w:hAnsi="Arial" w:cs="Arial"/>
          <w:b/>
          <w:bCs/>
          <w:color w:val="1F1F1F"/>
          <w:kern w:val="0"/>
          <w:sz w:val="27"/>
          <w:szCs w:val="27"/>
          <w14:ligatures w14:val="none"/>
        </w:rPr>
        <w:t>Metadados para publicação</w:t>
      </w:r>
    </w:p>
    <w:p w14:paraId="21F89F44" w14:textId="77777777" w:rsidR="00AD48AA" w:rsidRPr="00AD48AA" w:rsidRDefault="00AD48AA" w:rsidP="00AD48AA">
      <w:pPr>
        <w:numPr>
          <w:ilvl w:val="0"/>
          <w:numId w:val="5"/>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Título SEO:</w:t>
      </w:r>
      <w:r w:rsidRPr="00AD48AA">
        <w:rPr>
          <w:rFonts w:ascii="Arial" w:eastAsia="Times New Roman" w:hAnsi="Arial" w:cs="Arial"/>
          <w:color w:val="1F1F1F"/>
          <w:kern w:val="0"/>
          <w14:ligatures w14:val="none"/>
        </w:rPr>
        <w:t xml:space="preserve"> Fixação Bipolar na Escoliose Neuromuscular | Tratado </w:t>
      </w:r>
      <w:r w:rsidRPr="00AD48AA">
        <w:rPr>
          <w:rFonts w:ascii="Arial" w:eastAsia="Times New Roman" w:hAnsi="Arial" w:cs="Arial"/>
          <w:i/>
          <w:iCs/>
          <w:color w:val="1F1F1F"/>
          <w:kern w:val="0"/>
          <w:bdr w:val="none" w:sz="0" w:space="0" w:color="auto" w:frame="1"/>
          <w14:ligatures w14:val="none"/>
        </w:rPr>
        <w:t>(52 caracteres)</w:t>
      </w:r>
    </w:p>
    <w:p w14:paraId="5A02C393"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3715D05F" w14:textId="77777777" w:rsidR="00AD48AA" w:rsidRPr="00AD48AA" w:rsidRDefault="00AD48AA" w:rsidP="00AD48AA">
      <w:pPr>
        <w:numPr>
          <w:ilvl w:val="0"/>
          <w:numId w:val="5"/>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Meta descrição:</w:t>
      </w:r>
      <w:r w:rsidRPr="00AD48AA">
        <w:rPr>
          <w:rFonts w:ascii="Arial" w:eastAsia="Times New Roman" w:hAnsi="Arial" w:cs="Arial"/>
          <w:color w:val="1F1F1F"/>
          <w:kern w:val="0"/>
          <w14:ligatures w14:val="none"/>
        </w:rPr>
        <w:t xml:space="preserve"> Guia completo sobre a técnica de fixação bipolar na escoliose neuromuscular: indicações, técnica cirúrgica, conector autodistrator e resultados clínicos. </w:t>
      </w:r>
      <w:r w:rsidRPr="00AD48AA">
        <w:rPr>
          <w:rFonts w:ascii="Arial" w:eastAsia="Times New Roman" w:hAnsi="Arial" w:cs="Arial"/>
          <w:i/>
          <w:iCs/>
          <w:color w:val="1F1F1F"/>
          <w:kern w:val="0"/>
          <w:bdr w:val="none" w:sz="0" w:space="0" w:color="auto" w:frame="1"/>
          <w14:ligatures w14:val="none"/>
        </w:rPr>
        <w:t>(156 caracteres)</w:t>
      </w:r>
    </w:p>
    <w:p w14:paraId="5AE78A8D"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7FBB2C58" w14:textId="77777777" w:rsidR="00AD48AA" w:rsidRPr="00AD48AA" w:rsidRDefault="00AD48AA" w:rsidP="00AD48AA">
      <w:pPr>
        <w:numPr>
          <w:ilvl w:val="0"/>
          <w:numId w:val="5"/>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Resumo de chamada:</w:t>
      </w:r>
      <w:r w:rsidRPr="00AD48AA">
        <w:rPr>
          <w:rFonts w:ascii="Arial" w:eastAsia="Times New Roman" w:hAnsi="Arial" w:cs="Arial"/>
          <w:color w:val="1F1F1F"/>
          <w:kern w:val="0"/>
          <w14:ligatures w14:val="none"/>
        </w:rPr>
        <w:t xml:space="preserve"> Conheça a técnica de fixação bipolar para escoliose neuromuscular. Uma abordagem modular sem fusão intermediária, com parafusos iliossacrais e conectores de autodistração, que preserva o crescimento e reduz complicações. </w:t>
      </w:r>
      <w:r w:rsidRPr="00AD48AA">
        <w:rPr>
          <w:rFonts w:ascii="Arial" w:eastAsia="Times New Roman" w:hAnsi="Arial" w:cs="Arial"/>
          <w:i/>
          <w:iCs/>
          <w:color w:val="1F1F1F"/>
          <w:kern w:val="0"/>
          <w:bdr w:val="none" w:sz="0" w:space="0" w:color="auto" w:frame="1"/>
          <w14:ligatures w14:val="none"/>
        </w:rPr>
        <w:t>(28 palavras)</w:t>
      </w:r>
    </w:p>
    <w:p w14:paraId="4AA1261A" w14:textId="77777777" w:rsidR="00AD48AA" w:rsidRPr="00AD48AA" w:rsidRDefault="00AD48AA" w:rsidP="00AD48AA">
      <w:pPr>
        <w:spacing w:after="0" w:line="240" w:lineRule="auto"/>
        <w:ind w:left="720"/>
        <w:rPr>
          <w:rFonts w:ascii="Arial" w:eastAsia="Times New Roman" w:hAnsi="Arial" w:cs="Arial"/>
          <w:color w:val="1F1F1F"/>
          <w:kern w:val="0"/>
          <w14:ligatures w14:val="none"/>
        </w:rPr>
      </w:pPr>
    </w:p>
    <w:p w14:paraId="233F9022" w14:textId="77777777" w:rsidR="00AD48AA" w:rsidRPr="00AD48AA" w:rsidRDefault="00AD48AA" w:rsidP="00AD48AA">
      <w:pPr>
        <w:numPr>
          <w:ilvl w:val="0"/>
          <w:numId w:val="5"/>
        </w:numPr>
        <w:spacing w:after="0" w:line="240" w:lineRule="auto"/>
        <w:rPr>
          <w:rFonts w:ascii="Arial" w:eastAsia="Times New Roman" w:hAnsi="Arial" w:cs="Arial"/>
          <w:color w:val="1F1F1F"/>
          <w:kern w:val="0"/>
          <w14:ligatures w14:val="none"/>
        </w:rPr>
      </w:pPr>
      <w:r w:rsidRPr="00AD48AA">
        <w:rPr>
          <w:rFonts w:ascii="Arial" w:eastAsia="Times New Roman" w:hAnsi="Arial" w:cs="Arial"/>
          <w:b/>
          <w:bCs/>
          <w:color w:val="1F1F1F"/>
          <w:kern w:val="0"/>
          <w:bdr w:val="none" w:sz="0" w:space="0" w:color="auto" w:frame="1"/>
          <w14:ligatures w14:val="none"/>
        </w:rPr>
        <w:t>Sugestão de slug:</w:t>
      </w:r>
      <w:r w:rsidRPr="00AD48AA">
        <w:rPr>
          <w:rFonts w:ascii="Arial" w:eastAsia="Times New Roman" w:hAnsi="Arial" w:cs="Arial"/>
          <w:color w:val="1F1F1F"/>
          <w:kern w:val="0"/>
          <w14:ligatures w14:val="none"/>
        </w:rPr>
        <w:t xml:space="preserve"> </w:t>
      </w:r>
      <w:r w:rsidRPr="00AD48AA">
        <w:rPr>
          <w:rFonts w:ascii="Arial" w:eastAsia="Times New Roman" w:hAnsi="Arial" w:cs="Arial"/>
          <w:color w:val="1F1F1F"/>
          <w:kern w:val="0"/>
          <w:sz w:val="23"/>
          <w:szCs w:val="23"/>
          <w14:ligatures w14:val="none"/>
        </w:rPr>
        <w:t>tecnica-fixacao-bipolar-escoliose-neuromuscular</w:t>
      </w:r>
    </w:p>
    <w:p w14:paraId="1ADC7A6A" w14:textId="77777777" w:rsidR="00AD48AA" w:rsidRDefault="00AD48AA"/>
    <w:sectPr w:rsidR="00AD48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49206D"/>
    <w:multiLevelType w:val="multilevel"/>
    <w:tmpl w:val="451E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F0D2D"/>
    <w:multiLevelType w:val="multilevel"/>
    <w:tmpl w:val="3194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C3998"/>
    <w:multiLevelType w:val="multilevel"/>
    <w:tmpl w:val="9078D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EE3EC5"/>
    <w:multiLevelType w:val="multilevel"/>
    <w:tmpl w:val="B824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A7B51"/>
    <w:multiLevelType w:val="multilevel"/>
    <w:tmpl w:val="26CA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680943">
    <w:abstractNumId w:val="4"/>
  </w:num>
  <w:num w:numId="2" w16cid:durableId="1932350545">
    <w:abstractNumId w:val="3"/>
  </w:num>
  <w:num w:numId="3" w16cid:durableId="1128667895">
    <w:abstractNumId w:val="2"/>
  </w:num>
  <w:num w:numId="4" w16cid:durableId="2062287028">
    <w:abstractNumId w:val="1"/>
  </w:num>
  <w:num w:numId="5" w16cid:durableId="1945876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8AA"/>
    <w:rsid w:val="00AD48AA"/>
    <w:rsid w:val="00DB516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22363CB0"/>
  <w15:chartTrackingRefBased/>
  <w15:docId w15:val="{EE1F51B3-210C-7144-84CB-9D2571134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4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4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4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4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8AA"/>
    <w:rPr>
      <w:rFonts w:eastAsiaTheme="majorEastAsia" w:cstheme="majorBidi"/>
      <w:color w:val="272727" w:themeColor="text1" w:themeTint="D8"/>
    </w:rPr>
  </w:style>
  <w:style w:type="paragraph" w:styleId="Title">
    <w:name w:val="Title"/>
    <w:basedOn w:val="Normal"/>
    <w:next w:val="Normal"/>
    <w:link w:val="TitleChar"/>
    <w:uiPriority w:val="10"/>
    <w:qFormat/>
    <w:rsid w:val="00AD4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8AA"/>
    <w:pPr>
      <w:spacing w:before="160"/>
      <w:jc w:val="center"/>
    </w:pPr>
    <w:rPr>
      <w:i/>
      <w:iCs/>
      <w:color w:val="404040" w:themeColor="text1" w:themeTint="BF"/>
    </w:rPr>
  </w:style>
  <w:style w:type="character" w:customStyle="1" w:styleId="QuoteChar">
    <w:name w:val="Quote Char"/>
    <w:basedOn w:val="DefaultParagraphFont"/>
    <w:link w:val="Quote"/>
    <w:uiPriority w:val="29"/>
    <w:rsid w:val="00AD48AA"/>
    <w:rPr>
      <w:i/>
      <w:iCs/>
      <w:color w:val="404040" w:themeColor="text1" w:themeTint="BF"/>
    </w:rPr>
  </w:style>
  <w:style w:type="paragraph" w:styleId="ListParagraph">
    <w:name w:val="List Paragraph"/>
    <w:basedOn w:val="Normal"/>
    <w:uiPriority w:val="34"/>
    <w:qFormat/>
    <w:rsid w:val="00AD48AA"/>
    <w:pPr>
      <w:ind w:left="720"/>
      <w:contextualSpacing/>
    </w:pPr>
  </w:style>
  <w:style w:type="character" w:styleId="IntenseEmphasis">
    <w:name w:val="Intense Emphasis"/>
    <w:basedOn w:val="DefaultParagraphFont"/>
    <w:uiPriority w:val="21"/>
    <w:qFormat/>
    <w:rsid w:val="00AD48AA"/>
    <w:rPr>
      <w:i/>
      <w:iCs/>
      <w:color w:val="0F4761" w:themeColor="accent1" w:themeShade="BF"/>
    </w:rPr>
  </w:style>
  <w:style w:type="paragraph" w:styleId="IntenseQuote">
    <w:name w:val="Intense Quote"/>
    <w:basedOn w:val="Normal"/>
    <w:next w:val="Normal"/>
    <w:link w:val="IntenseQuoteChar"/>
    <w:uiPriority w:val="30"/>
    <w:qFormat/>
    <w:rsid w:val="00AD4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8AA"/>
    <w:rPr>
      <w:i/>
      <w:iCs/>
      <w:color w:val="0F4761" w:themeColor="accent1" w:themeShade="BF"/>
    </w:rPr>
  </w:style>
  <w:style w:type="character" w:styleId="IntenseReference">
    <w:name w:val="Intense Reference"/>
    <w:basedOn w:val="DefaultParagraphFont"/>
    <w:uiPriority w:val="32"/>
    <w:qFormat/>
    <w:rsid w:val="00AD48AA"/>
    <w:rPr>
      <w:b/>
      <w:bCs/>
      <w:smallCaps/>
      <w:color w:val="0F4761" w:themeColor="accent1" w:themeShade="BF"/>
      <w:spacing w:val="5"/>
    </w:rPr>
  </w:style>
  <w:style w:type="character" w:customStyle="1" w:styleId="ng-tns-c570412754-33">
    <w:name w:val="ng-tns-c570412754-33"/>
    <w:basedOn w:val="DefaultParagraphFont"/>
    <w:rsid w:val="00AD48AA"/>
  </w:style>
  <w:style w:type="paragraph" w:styleId="HTMLPreformatted">
    <w:name w:val="HTML Preformatted"/>
    <w:basedOn w:val="Normal"/>
    <w:link w:val="HTMLPreformattedChar"/>
    <w:uiPriority w:val="99"/>
    <w:semiHidden/>
    <w:unhideWhenUsed/>
    <w:rsid w:val="00AD4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48A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D48AA"/>
    <w:rPr>
      <w:rFonts w:ascii="Courier New" w:eastAsia="Times New Roman" w:hAnsi="Courier New" w:cs="Courier New"/>
      <w:sz w:val="20"/>
      <w:szCs w:val="20"/>
    </w:rPr>
  </w:style>
  <w:style w:type="character" w:customStyle="1" w:styleId="hljs-comment">
    <w:name w:val="hljs-comment"/>
    <w:basedOn w:val="DefaultParagraphFont"/>
    <w:rsid w:val="00AD48AA"/>
  </w:style>
  <w:style w:type="character" w:customStyle="1" w:styleId="hljs-keyword">
    <w:name w:val="hljs-keyword"/>
    <w:basedOn w:val="DefaultParagraphFont"/>
    <w:rsid w:val="00AD48AA"/>
  </w:style>
  <w:style w:type="character" w:customStyle="1" w:styleId="ng-tns-c570412754-34">
    <w:name w:val="ng-tns-c570412754-34"/>
    <w:basedOn w:val="DefaultParagraphFont"/>
    <w:rsid w:val="00AD48AA"/>
  </w:style>
  <w:style w:type="character" w:customStyle="1" w:styleId="hljs-string">
    <w:name w:val="hljs-string"/>
    <w:basedOn w:val="DefaultParagraphFont"/>
    <w:rsid w:val="00AD48AA"/>
  </w:style>
  <w:style w:type="character" w:customStyle="1" w:styleId="hljs-function">
    <w:name w:val="hljs-function"/>
    <w:basedOn w:val="DefaultParagraphFont"/>
    <w:rsid w:val="00AD48AA"/>
  </w:style>
  <w:style w:type="character" w:customStyle="1" w:styleId="hljs-title">
    <w:name w:val="hljs-title"/>
    <w:basedOn w:val="DefaultParagraphFont"/>
    <w:rsid w:val="00AD48AA"/>
  </w:style>
  <w:style w:type="character" w:customStyle="1" w:styleId="hljs-params">
    <w:name w:val="hljs-params"/>
    <w:basedOn w:val="DefaultParagraphFont"/>
    <w:rsid w:val="00AD48AA"/>
  </w:style>
  <w:style w:type="character" w:customStyle="1" w:styleId="hljs-builtin">
    <w:name w:val="hljs-built_in"/>
    <w:basedOn w:val="DefaultParagraphFont"/>
    <w:rsid w:val="00AD48AA"/>
  </w:style>
  <w:style w:type="character" w:customStyle="1" w:styleId="ng-tns-c570412754-35">
    <w:name w:val="ng-tns-c570412754-35"/>
    <w:basedOn w:val="DefaultParagraphFont"/>
    <w:rsid w:val="00AD48AA"/>
  </w:style>
  <w:style w:type="character" w:customStyle="1" w:styleId="ng-tns-c570412754-36">
    <w:name w:val="ng-tns-c570412754-36"/>
    <w:basedOn w:val="DefaultParagraphFont"/>
    <w:rsid w:val="00AD48AA"/>
  </w:style>
  <w:style w:type="character" w:customStyle="1" w:styleId="hljs-subst">
    <w:name w:val="hljs-subst"/>
    <w:basedOn w:val="DefaultParagraphFont"/>
    <w:rsid w:val="00AD48AA"/>
  </w:style>
  <w:style w:type="character" w:customStyle="1" w:styleId="ng-tns-c570412754-37">
    <w:name w:val="ng-tns-c570412754-37"/>
    <w:basedOn w:val="DefaultParagraphFont"/>
    <w:rsid w:val="00AD4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1981</Words>
  <Characters>13196</Characters>
  <Application>Microsoft Office Word</Application>
  <DocSecurity>0</DocSecurity>
  <Lines>329</Lines>
  <Paragraphs>180</Paragraphs>
  <ScaleCrop>false</ScaleCrop>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2026-08-20T21:04:00Z</dcterms:created>
  <dcterms:modified xsi:type="dcterms:W3CDTF">2026-08-20T21:05:00Z</dcterms:modified>
</cp:coreProperties>
</file>