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Ind w:w="14" w:type="dxa"/>
        <w:tblLayout w:type="fixed"/>
        <w:tblCellMar>
          <w:left w:w="0" w:type="dxa"/>
          <w:right w:w="0" w:type="dxa"/>
        </w:tblCellMar>
      </w:tblPr>
      <w:tblGrid>
        <w:gridCol w:w="5397"/>
        <w:gridCol w:w="5029"/>
      </w:tblGrid>
      <w:tr>
        <w:trPr>
          <w:trHeight w:val="584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single" w:sz="5" w:color="#192E3A"/>
              <w:right w:val="none" w:sz="0" w:color="#000000"/>
            </w:tcBorders>
            <w:tcW w:w="5411" w:type="auto"/>
            <w:textDirection w:val="lrTb"/>
            <w:vAlign w:val="top"/>
            <w:vMerge w:val="restart"/>
          </w:tcPr>
          <w:p>
            <w:pPr>
              <w:ind w:right="0" w:left="156" w:firstLine="0"/>
              <w:spacing w:before="0" w:after="0" w:line="180" w:lineRule="auto"/>
              <w:jc w:val="left"/>
              <w:rPr>
                <w:b w:val="true"/>
                <w:color w:val="#000000"/>
                <w:sz w:val="49"/>
                <w:lang w:val="pt-PT"/>
                <w:spacing w:val="8"/>
                <w:w w:val="7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49"/>
                <w:lang w:val="pt-PT"/>
                <w:spacing w:val="8"/>
                <w:w w:val="70"/>
                <w:strike w:val="false"/>
                <w:vertAlign w:val="baseline"/>
                <w:rFonts w:ascii="Verdana" w:hAnsi="Verdana"/>
              </w:rPr>
              <w:t xml:space="preserve">SPMS„,</w:t>
            </w:r>
          </w:p>
          <w:p>
            <w:pPr>
              <w:ind w:right="0" w:left="156" w:firstLine="0"/>
              <w:spacing w:before="0" w:after="0" w:line="218" w:lineRule="auto"/>
              <w:jc w:val="left"/>
              <w:rPr>
                <w:color w:val="#000000"/>
                <w:sz w:val="14"/>
                <w:lang w:val="pt-PT"/>
                <w:spacing w:val="-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pt-PT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Serviços Partilhados do Ministério da Saúde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bottom"/>
          </w:tcPr>
          <w:p>
            <w:pPr>
              <w:ind w:right="842" w:left="0" w:firstLine="0"/>
              <w:spacing w:before="324" w:after="0" w:line="240" w:lineRule="auto"/>
              <w:jc w:val="right"/>
              <w:tabs>
                <w:tab w:val="right" w:leader="none" w:pos="4187"/>
              </w:tabs>
              <w:rPr>
                <w:b w:val="true"/>
                <w:color w:val="#6C85EE"/>
                <w:sz w:val="10"/>
                <w:lang w:val="pt-PT"/>
                <w:spacing w:val="0"/>
                <w:w w:val="8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6C85EE"/>
                <w:sz w:val="10"/>
                <w:lang w:val="pt-PT"/>
                <w:spacing w:val="0"/>
                <w:w w:val="85"/>
                <w:strike w:val="false"/>
                <w:vertAlign w:val="baseline"/>
                <w:rFonts w:ascii="Tahoma" w:hAnsi="Tahoma"/>
              </w:rPr>
              <w:t xml:space="preserve">Írs)	</w:t>
            </w:r>
            <w:r>
              <w:rPr>
                <w:b w:val="true"/>
                <w:color w:val="#6C85EE"/>
                <w:sz w:val="11"/>
                <w:lang w:val="pt-PT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(1 Ca</w:t>
            </w:r>
          </w:p>
        </w:tc>
      </w:tr>
      <w:tr>
        <w:trPr>
          <w:trHeight w:val="34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single" w:sz="5" w:color="#192E3A"/>
              <w:right w:val="none" w:sz="0" w:color="#000000"/>
            </w:tcBorders>
            <w:tcW w:w="541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40" w:type="auto"/>
            <w:textDirection w:val="lrTb"/>
            <w:vAlign w:val="top"/>
          </w:tcPr>
          <w:p/>
        </w:tc>
      </w:tr>
    </w:tbl>
    <w:p>
      <w:pPr>
        <w:spacing w:before="0" w:after="304" w:line="20" w:lineRule="exact"/>
      </w:pPr>
    </w:p>
    <w:p>
      <w:pPr>
        <w:ind w:right="0" w:left="8928" w:firstLine="0"/>
        <w:spacing w:before="0" w:after="0" w:line="240" w:lineRule="auto"/>
        <w:jc w:val="left"/>
        <w:rPr>
          <w:b w:val="true"/>
          <w:color w:val="#6C85EE"/>
          <w:sz w:val="16"/>
          <w:lang w:val="pt-PT"/>
          <w:spacing w:val="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6C85EE"/>
          <w:sz w:val="16"/>
          <w:lang w:val="pt-PT"/>
          <w:spacing w:val="16"/>
          <w:w w:val="100"/>
          <w:strike w:val="false"/>
          <w:vertAlign w:val="baseline"/>
          <w:rFonts w:ascii="Tahoma" w:hAnsi="Tahoma"/>
        </w:rPr>
        <w:t xml:space="preserve">6:‘L 2-</w:t>
      </w:r>
    </w:p>
    <w:p>
      <w:pPr>
        <w:ind w:right="0" w:left="7128" w:firstLine="0"/>
        <w:spacing w:before="720" w:after="0" w:line="288" w:lineRule="auto"/>
        <w:jc w:val="center"/>
        <w:rPr>
          <w:i w:val="true"/>
          <w:color w:val="#000000"/>
          <w:sz w:val="20"/>
          <w:lang w:val="pt-PT"/>
          <w:spacing w:val="18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20"/>
          <w:lang w:val="pt-PT"/>
          <w:spacing w:val="18"/>
          <w:w w:val="100"/>
          <w:strike w:val="false"/>
          <w:vertAlign w:val="baseline"/>
          <w:rFonts w:ascii="Arial" w:hAnsi="Arial"/>
        </w:rPr>
        <w:t xml:space="preserve">,Sanou C aca
</w:t>
        <w:br/>
      </w:r>
      <w:r>
        <w:rPr>
          <w:color w:val="#000000"/>
          <w:sz w:val="18"/>
          <w:lang w:val="pt-PT"/>
          <w:spacing w:val="10"/>
          <w:w w:val="100"/>
          <w:strike w:val="false"/>
          <w:vertAlign w:val="baseline"/>
          <w:rFonts w:ascii="Tahoma" w:hAnsi="Tahoma"/>
        </w:rPr>
        <w:t xml:space="preserve">Vogal do Conselho e Administração</w:t>
      </w:r>
    </w:p>
    <w:p>
      <w:pPr>
        <w:ind w:right="0" w:left="0" w:firstLine="0"/>
        <w:spacing w:before="1800" w:after="2556" w:line="1473" w:lineRule="auto"/>
        <w:jc w:val="center"/>
        <w:rPr>
          <w:b w:val="true"/>
          <w:color w:val="#000000"/>
          <w:sz w:val="19"/>
          <w:lang w:val="pt-PT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CONCURSO PÚBLICO PARA AQUISIÇÃO DE SISTEMA DE INFORMAÇÃO PARA REGISTO E
</w:t>
        <w:br/>
      </w:r>
      <w:r>
        <w:rPr>
          <w:b w:val="true"/>
          <w:color w:val="#000000"/>
          <w:sz w:val="19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CONTROLO DE REAÇÕES ADVERSAS A MEDICAMENTOS E DISPOSITIVOS MÉDICOS PARA A
</w:t>
        <w:br/>
      </w:r>
      <w:r>
        <w:rPr>
          <w:b w:val="true"/>
          <w:color w:val="#000000"/>
          <w:sz w:val="19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UNIDADE LOCAL DE SAÚDE DE MATOSINHOS, EPE
</w:t>
        <w:br/>
      </w:r>
      <w:r>
        <w:rPr>
          <w:b w:val="true"/>
          <w:color w:val="#000000"/>
          <w:sz w:val="19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REF.@ 74/2022
</w:t>
        <w:br/>
      </w:r>
      <w:r>
        <w:rPr>
          <w:b w:val="true"/>
          <w:color w:val="#000000"/>
          <w:sz w:val="19"/>
          <w:lang w:val="pt-PT"/>
          <w:spacing w:val="-28"/>
          <w:w w:val="100"/>
          <w:strike w:val="false"/>
          <w:vertAlign w:val="baseline"/>
          <w:rFonts w:ascii="Arial" w:hAnsi="Arial"/>
        </w:rPr>
        <w:t xml:space="preserve">CADERNO DE ENCARGOS
</w:t>
        <w:br/>
      </w:r>
      <w:r>
        <w:rPr>
          <w:color w:val="#000000"/>
          <w:sz w:val="18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(Código dos Contratos Públicos na sua redação atual)</w:t>
      </w:r>
    </w:p>
    <w:p>
      <w:pPr>
        <w:ind w:right="0" w:left="8568" w:firstLine="0"/>
        <w:spacing w:before="0" w:after="72" w:line="240" w:lineRule="auto"/>
        <w:jc w:val="lef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1 de </w:t>
      </w:r>
      <w:r>
        <w:rPr>
          <w:color w:val="#000000"/>
          <w:sz w:val="15"/>
          <w:lang w:val="pt-PT"/>
          <w:spacing w:val="0"/>
          <w:w w:val="105"/>
          <w:strike w:val="false"/>
          <w:vertAlign w:val="baseline"/>
          <w:rFonts w:ascii="Arial" w:hAnsi="Arial"/>
        </w:rPr>
        <w:t xml:space="preserve">32</w:t>
      </w:r>
    </w:p>
    <w:p>
      <w:pPr>
        <w:ind w:right="0" w:left="0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85A5A" from="34.05pt,0.25pt" to="444.8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na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N.a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34" w:right="676" w:left="742" w:header="720" w:footer="720"/>
          <w:titlePg w:val="false"/>
        </w:sectPr>
      </w:pPr>
    </w:p>
    <w:p>
      <w:pPr>
        <w:ind w:right="0" w:left="0" w:firstLine="0"/>
        <w:spacing w:before="36" w:after="0" w:line="396" w:lineRule="exact"/>
        <w:jc w:val="left"/>
        <w:rPr>
          <w:b w:val="true"/>
          <w:color w:val="#000000"/>
          <w:sz w:val="48"/>
          <w:lang w:val="pt-PT"/>
          <w:spacing w:val="0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161E30" from="-7.55pt,1.1pt" to="-7.55pt,28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0"/>
          <w:w w:val="70"/>
          <w:strike w:val="false"/>
          <w:vertAlign w:val="baseline"/>
          <w:rFonts w:ascii="Verdana" w:hAnsi="Verdana"/>
        </w:rPr>
        <w:t xml:space="preserve">SPMS.</w:t>
      </w:r>
    </w:p>
    <w:p>
      <w:pPr>
        <w:ind w:right="0" w:left="0" w:firstLine="0"/>
        <w:spacing w:before="0" w:after="0" w:line="268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4464" w:firstLine="0"/>
        <w:spacing w:before="792" w:after="0" w:line="240" w:lineRule="auto"/>
        <w:jc w:val="left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Índice</w:t>
      </w:r>
    </w:p>
    <w:p>
      <w:pPr>
        <w:ind w:right="0" w:left="576" w:firstLine="0"/>
        <w:spacing w:before="72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1.</w:t>
      </w:r>
      <w:r>
        <w:rPr>
          <w:b w:val="true"/>
          <w:color w:val="#000000"/>
          <w:sz w:val="18"/>
          <w:lang w:val="pt-PT"/>
          <w:spacing w:val="2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 — Objeto contratual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3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Cláusula 2.2 — Contrato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3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Cláusula 3.2— Prazo de vigência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4</w:t>
      </w:r>
    </w:p>
    <w:p>
      <w:pPr>
        <w:ind w:right="0" w:left="576" w:firstLine="0"/>
        <w:spacing w:before="216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4.</w:t>
      </w:r>
      <w:r>
        <w:rPr>
          <w:b w:val="true"/>
          <w:color w:val="#000000"/>
          <w:sz w:val="18"/>
          <w:lang w:val="pt-PT"/>
          <w:spacing w:val="3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— Local da prestação de serviços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4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-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-2"/>
          <w:w w:val="95"/>
          <w:strike w:val="false"/>
          <w:vertAlign w:val="baseline"/>
          <w:rFonts w:ascii="Tahoma" w:hAnsi="Tahoma"/>
        </w:rPr>
        <w:t xml:space="preserve">Cláusula 5.2 — Preço base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4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6.2— Revisão dos preços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5</w:t>
      </w:r>
    </w:p>
    <w:p>
      <w:pPr>
        <w:ind w:right="0" w:left="576" w:firstLine="0"/>
        <w:spacing w:before="216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7.</w:t>
      </w:r>
      <w:r>
        <w:rPr>
          <w:b w:val="true"/>
          <w:color w:val="#000000"/>
          <w:sz w:val="18"/>
          <w:lang w:val="pt-PT"/>
          <w:spacing w:val="2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— Inspeção e Testes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5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8.2 — inoperacionalidade, defeitos ou discrepãncias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5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9.</w:t>
      </w:r>
      <w:r>
        <w:rPr>
          <w:b w:val="true"/>
          <w:color w:val="#000000"/>
          <w:sz w:val="18"/>
          <w:lang w:val="pt-PT"/>
          <w:spacing w:val="3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— Aceitação dos Serviços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6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1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1"/>
          <w:w w:val="95"/>
          <w:strike w:val="false"/>
          <w:vertAlign w:val="baseline"/>
          <w:rFonts w:ascii="Tahoma" w:hAnsi="Tahoma"/>
        </w:rPr>
        <w:t xml:space="preserve">Cláusula 10.2— Condições de Pagamento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6</w:t>
      </w:r>
    </w:p>
    <w:p>
      <w:pPr>
        <w:ind w:right="0" w:left="576" w:firstLine="0"/>
        <w:spacing w:before="216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Cláusula 11.</w:t>
      </w:r>
      <w:r>
        <w:rPr>
          <w:b w:val="true"/>
          <w:color w:val="#000000"/>
          <w:sz w:val="18"/>
          <w:lang w:val="pt-PT"/>
          <w:spacing w:val="4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— Obrigações da Entidade Adjudicante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7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12.2— Obrigações principais do adjudicatário 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7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13.</w:t>
      </w:r>
      <w:r>
        <w:rPr>
          <w:b w:val="true"/>
          <w:color w:val="#000000"/>
          <w:sz w:val="18"/>
          <w:lang w:val="pt-PT"/>
          <w:spacing w:val="2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— Dever de sigilo 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8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14.</w:t>
      </w:r>
      <w:r>
        <w:rPr>
          <w:b w:val="true"/>
          <w:color w:val="#000000"/>
          <w:sz w:val="18"/>
          <w:lang w:val="pt-PT"/>
          <w:spacing w:val="3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— Patentes, licenças e marcas registadas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9</w:t>
      </w:r>
    </w:p>
    <w:p>
      <w:pPr>
        <w:ind w:right="0" w:left="576" w:firstLine="0"/>
        <w:spacing w:before="216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Cláusula 15.</w:t>
      </w:r>
      <w:r>
        <w:rPr>
          <w:b w:val="true"/>
          <w:color w:val="#000000"/>
          <w:sz w:val="18"/>
          <w:lang w:val="pt-PT"/>
          <w:spacing w:val="4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— Proteção de Dados pessoais — Conformidade legal 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10</w:t>
      </w:r>
    </w:p>
    <w:p>
      <w:pPr>
        <w:ind w:right="0" w:left="576" w:firstLine="0"/>
        <w:spacing w:before="180" w:after="0" w:line="211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16.</w:t>
      </w:r>
      <w:r>
        <w:rPr>
          <w:b w:val="true"/>
          <w:color w:val="#000000"/>
          <w:sz w:val="18"/>
          <w:lang w:val="pt-PT"/>
          <w:spacing w:val="3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— Penalidades contratuais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10</w:t>
      </w:r>
    </w:p>
    <w:p>
      <w:pPr>
        <w:ind w:right="0" w:left="576" w:firstLine="0"/>
        <w:spacing w:before="216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17.2 — Subcontratação e cessão da posição contratual 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10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Cláusula 18.</w:t>
      </w:r>
      <w:r>
        <w:rPr>
          <w:b w:val="true"/>
          <w:color w:val="#000000"/>
          <w:sz w:val="18"/>
          <w:lang w:val="pt-PT"/>
          <w:spacing w:val="4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— Responsabilidade das partes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11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Cláusula 19.2— Força maior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11</w:t>
      </w:r>
    </w:p>
    <w:p>
      <w:pPr>
        <w:ind w:right="0" w:left="576" w:firstLine="0"/>
        <w:spacing w:before="216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20.</w:t>
      </w:r>
      <w:r>
        <w:rPr>
          <w:b w:val="true"/>
          <w:color w:val="#000000"/>
          <w:sz w:val="18"/>
          <w:lang w:val="pt-PT"/>
          <w:spacing w:val="2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 — Resolução do contrato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11</w:t>
      </w:r>
    </w:p>
    <w:p>
      <w:pPr>
        <w:ind w:right="0" w:left="576" w:firstLine="0"/>
        <w:spacing w:before="180" w:after="0" w:line="216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4"/>
          <w:w w:val="95"/>
          <w:strike w:val="false"/>
          <w:vertAlign w:val="baseline"/>
          <w:rFonts w:ascii="Tahoma" w:hAnsi="Tahoma"/>
        </w:rPr>
        <w:t xml:space="preserve">Cláusula 21.2— Gestor do Contrato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12</w:t>
      </w:r>
    </w:p>
    <w:p>
      <w:pPr>
        <w:ind w:right="0" w:left="576" w:firstLine="0"/>
        <w:spacing w:before="216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22.</w:t>
      </w:r>
      <w:r>
        <w:rPr>
          <w:b w:val="true"/>
          <w:color w:val="#000000"/>
          <w:sz w:val="18"/>
          <w:lang w:val="pt-PT"/>
          <w:spacing w:val="2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— Utilização dos sistemas de informação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12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Cláusula 23.</w:t>
      </w:r>
      <w:r>
        <w:rPr>
          <w:b w:val="true"/>
          <w:color w:val="#000000"/>
          <w:sz w:val="18"/>
          <w:lang w:val="pt-PT"/>
          <w:spacing w:val="3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3"/>
          <w:w w:val="95"/>
          <w:strike w:val="false"/>
          <w:vertAlign w:val="baseline"/>
          <w:rFonts w:ascii="Tahoma" w:hAnsi="Tahoma"/>
        </w:rPr>
        <w:t xml:space="preserve"> — Comunicações e notificações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12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1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1"/>
          <w:w w:val="95"/>
          <w:strike w:val="false"/>
          <w:vertAlign w:val="baseline"/>
          <w:rFonts w:ascii="Tahoma" w:hAnsi="Tahoma"/>
        </w:rPr>
        <w:t xml:space="preserve">Cláusula 24.</w:t>
      </w:r>
      <w:r>
        <w:rPr>
          <w:b w:val="true"/>
          <w:color w:val="#000000"/>
          <w:sz w:val="18"/>
          <w:lang w:val="pt-PT"/>
          <w:spacing w:val="1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1"/>
          <w:w w:val="95"/>
          <w:strike w:val="false"/>
          <w:vertAlign w:val="baseline"/>
          <w:rFonts w:ascii="Tahoma" w:hAnsi="Tahoma"/>
        </w:rPr>
        <w:t xml:space="preserve">— Contagem dos prazos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13</w:t>
      </w:r>
    </w:p>
    <w:p>
      <w:pPr>
        <w:ind w:right="0" w:left="576" w:firstLine="0"/>
        <w:spacing w:before="180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1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1"/>
          <w:w w:val="95"/>
          <w:strike w:val="false"/>
          <w:vertAlign w:val="baseline"/>
          <w:rFonts w:ascii="Tahoma" w:hAnsi="Tahoma"/>
        </w:rPr>
        <w:t xml:space="preserve">Cláusula 25.2— Legislação e foro competente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13</w:t>
      </w:r>
    </w:p>
    <w:p>
      <w:pPr>
        <w:ind w:right="0" w:left="576" w:firstLine="0"/>
        <w:spacing w:before="216" w:after="0" w:line="288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-3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-3"/>
          <w:w w:val="95"/>
          <w:strike w:val="false"/>
          <w:vertAlign w:val="baseline"/>
          <w:rFonts w:ascii="Tahoma" w:hAnsi="Tahoma"/>
        </w:rPr>
        <w:t xml:space="preserve">Anexo I - ESPECIFICAÇÕES TÉCNICAS	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14</w:t>
      </w:r>
    </w:p>
    <w:p>
      <w:pPr>
        <w:ind w:right="0" w:left="576" w:firstLine="0"/>
        <w:spacing w:before="144" w:after="0" w:line="288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-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-2"/>
          <w:w w:val="95"/>
          <w:strike w:val="false"/>
          <w:vertAlign w:val="baseline"/>
          <w:rFonts w:ascii="Tahoma" w:hAnsi="Tahoma"/>
        </w:rPr>
        <w:t xml:space="preserve">Anexo II - ESPECIFICAÇÕES TÉCNICAS/RECURSOS	</w:t>
      </w:r>
      <w:r>
        <w:rPr>
          <w:b w:val="true"/>
          <w:color w:val="#000000"/>
          <w:sz w:val="18"/>
          <w:lang w:val="pt-PT"/>
          <w:spacing w:val="6"/>
          <w:w w:val="95"/>
          <w:strike w:val="false"/>
          <w:vertAlign w:val="baseline"/>
          <w:rFonts w:ascii="Tahoma" w:hAnsi="Tahoma"/>
        </w:rPr>
        <w:t xml:space="preserve">Erro! Marcador não definido.</w:t>
      </w:r>
    </w:p>
    <w:p>
      <w:pPr>
        <w:ind w:right="0" w:left="576" w:firstLine="0"/>
        <w:spacing w:before="144" w:after="0" w:line="240" w:lineRule="auto"/>
        <w:jc w:val="left"/>
        <w:tabs>
          <w:tab w:val="right" w:leader="dot" w:pos="8831"/>
        </w:tabs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Anexo III - Declaração de aceitação	</w:t>
      </w:r>
      <w:r>
        <w:rPr>
          <w:b w:val="true"/>
          <w:color w:val="#000000"/>
          <w:sz w:val="18"/>
          <w:lang w:val="pt-PT"/>
          <w:spacing w:val="6"/>
          <w:w w:val="95"/>
          <w:strike w:val="false"/>
          <w:vertAlign w:val="baseline"/>
          <w:rFonts w:ascii="Tahoma" w:hAnsi="Tahoma"/>
        </w:rPr>
        <w:t xml:space="preserve">Erro! Marcador não definido.</w:t>
      </w:r>
    </w:p>
    <w:p>
      <w:pPr>
        <w:ind w:right="108" w:left="0" w:firstLine="0"/>
        <w:spacing w:before="1152" w:after="108" w:line="196" w:lineRule="auto"/>
        <w:jc w:val="right"/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2 de 32</w:t>
      </w:r>
    </w:p>
    <w:p>
      <w:pPr>
        <w:ind w:right="0" w:left="216" w:firstLine="0"/>
        <w:spacing w:before="36" w:after="0" w:line="28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A5D5C" from="25.75pt,0.25pt" to="436.4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na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</w:t>
      </w:r>
      <w:r>
        <w:rPr>
          <w:color w:val="#000000"/>
          <w:sz w:val="12"/>
          <w:lang w:val="pt-PT"/>
          <w:spacing w:val="-5"/>
          <w:w w:val="120"/>
          <w:strike w:val="false"/>
          <w:vertAlign w:val="superscript"/>
          <w:rFonts w:ascii="Arial" w:hAnsi="Arial"/>
        </w:rPr>
        <w:t xml:space="preserve">9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14" w:right="1363" w:left="1495" w:header="720" w:footer="720"/>
          <w:titlePg w:val="false"/>
        </w:sectPr>
      </w:pPr>
    </w:p>
    <w:p>
      <w:pPr>
        <w:ind w:right="0" w:left="0" w:firstLine="0"/>
        <w:spacing w:before="0" w:after="0" w:line="414" w:lineRule="exact"/>
        <w:jc w:val="left"/>
        <w:rPr>
          <w:b w:val="true"/>
          <w:color w:val="#000000"/>
          <w:sz w:val="53"/>
          <w:lang w:val="pt-PT"/>
          <w:spacing w:val="4"/>
          <w:w w:val="70"/>
          <w:strike w:val="false"/>
          <w:vertAlign w:val="baseline"/>
          <w:rFonts w:ascii="Times New Roman" w:hAnsi="Times New Roman"/>
        </w:rPr>
      </w:pPr>
      <w:r>
        <w:pict>
          <v:line strokeweight="0.7pt" strokecolor="#101623" from="-6.1pt,1.55pt" to="-6.1pt,29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53"/>
          <w:lang w:val="pt-PT"/>
          <w:spacing w:val="4"/>
          <w:w w:val="70"/>
          <w:strike w:val="false"/>
          <w:vertAlign w:val="baseline"/>
          <w:rFonts w:ascii="Times New Roman" w:hAnsi="Times New Roman"/>
        </w:rPr>
        <w:t xml:space="preserve">SPMS„E</w:t>
      </w:r>
    </w:p>
    <w:p>
      <w:pPr>
        <w:ind w:right="0" w:left="0" w:firstLine="0"/>
        <w:spacing w:before="0" w:after="0" w:line="192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360" w:firstLine="0"/>
        <w:spacing w:before="648" w:after="0" w:line="377" w:lineRule="exact"/>
        <w:jc w:val="center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1.2 — Objeto contratual
</w:t>
        <w:br/>
      </w:r>
      <w:r>
        <w:rPr>
          <w:color w:val="#000000"/>
          <w:sz w:val="18"/>
          <w:lang w:val="pt-PT"/>
          <w:spacing w:val="5"/>
          <w:w w:val="100"/>
          <w:strike w:val="false"/>
          <w:vertAlign w:val="baseline"/>
          <w:rFonts w:ascii="Verdana" w:hAnsi="Verdana"/>
        </w:rPr>
        <w:t xml:space="preserve">O contrato a celebrar tem por objeto disciplinar as relações contratuais entre a entidade
</w:t>
        <w:br/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adjudicante e o adjudicatário, mediante a fixação dos termos e condições para a aquisição de
</w:t>
        <w:br/>
      </w:r>
      <w:r>
        <w:rPr>
          <w:b w:val="true"/>
          <w:i w:val="true"/>
          <w:color w:val="#000000"/>
          <w:sz w:val="19"/>
          <w:lang w:val="pt-PT"/>
          <w:spacing w:val="7"/>
          <w:w w:val="100"/>
          <w:strike w:val="false"/>
          <w:vertAlign w:val="baseline"/>
          <w:rFonts w:ascii="Arial" w:hAnsi="Arial"/>
        </w:rPr>
        <w:t xml:space="preserve">Sistema de Informação para Registo e Controlo de Reações Adversas a Medicamento e
</w:t>
        <w:br/>
      </w:r>
      <w:r>
        <w:rPr>
          <w:b w:val="true"/>
          <w:i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Dispositivos Médicos,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para a Unidade local de Saúde de Matosinhos, EPE., nos termos melhor
</w:t>
        <w:br/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identificados nas especificações técnicas constantes do Anexo I do presente caderno de encargos.</w:t>
      </w:r>
    </w:p>
    <w:p>
      <w:pPr>
        <w:ind w:right="0" w:left="3600" w:firstLine="0"/>
        <w:spacing w:before="360" w:after="0" w:line="196" w:lineRule="exact"/>
        <w:jc w:val="left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Cláusula 2.</w:t>
      </w:r>
      <w:r>
        <w:rPr>
          <w:b w:val="true"/>
          <w:color w:val="#000000"/>
          <w:sz w:val="18"/>
          <w:lang w:val="pt-PT"/>
          <w:spacing w:val="0"/>
          <w:w w:val="100"/>
          <w:strike w:val="false"/>
          <w:vertAlign w:val="superscript"/>
          <w:rFonts w:ascii="Tahoma" w:hAnsi="Tahoma"/>
        </w:rPr>
        <w:t xml:space="preserve">2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— Contrato</w:t>
      </w:r>
    </w:p>
    <w:p>
      <w:pPr>
        <w:ind w:right="0" w:left="648" w:firstLine="-288"/>
        <w:spacing w:before="144" w:after="0" w:line="304" w:lineRule="exact"/>
        <w:jc w:val="left"/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1. O contrato a celebrar será reduzido a escrito e composto pelo respetivo clausulado contratual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e os seus anexos.</w:t>
      </w:r>
    </w:p>
    <w:p>
      <w:pPr>
        <w:ind w:right="0" w:left="648" w:firstLine="-288"/>
        <w:spacing w:before="144" w:after="0" w:line="322" w:lineRule="exact"/>
        <w:jc w:val="both"/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2. Para além dos elementos referidos no número anterior, o contrato a celebrar integra ainda os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seguintes elementos:</w:t>
      </w:r>
    </w:p>
    <w:p>
      <w:pPr>
        <w:ind w:right="0" w:left="1152" w:firstLine="-432"/>
        <w:spacing w:before="144" w:after="0" w:line="349" w:lineRule="exact"/>
        <w:jc w:val="both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O suprimento dos erros e omissões das peças do procedimento, identificados pelas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entidades a concurso, desde que esses erros e omissões tenham sido expressamente aceites pelo órgão competente para a decisão de contratar;</w:t>
      </w:r>
    </w:p>
    <w:p>
      <w:pPr>
        <w:ind w:right="0" w:left="1152" w:firstLine="-432"/>
        <w:spacing w:before="108" w:after="0" w:line="237" w:lineRule="exact"/>
        <w:jc w:val="both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Os esclarecimentos e as retificações relativos às peças do procedimento;</w:t>
      </w:r>
    </w:p>
    <w:p>
      <w:pPr>
        <w:ind w:right="0" w:left="1152" w:firstLine="-432"/>
        <w:spacing w:before="144" w:after="0" w:line="234" w:lineRule="exact"/>
        <w:jc w:val="both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18"/>
          <w:lang w:val="pt-PT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6"/>
          <w:w w:val="100"/>
          <w:strike w:val="false"/>
          <w:vertAlign w:val="baseline"/>
          <w:rFonts w:ascii="Verdana" w:hAnsi="Verdana"/>
        </w:rPr>
        <w:t xml:space="preserve">O presente Caderno de Encargos e Anexos;</w:t>
      </w:r>
    </w:p>
    <w:p>
      <w:pPr>
        <w:ind w:right="0" w:left="1152" w:firstLine="-432"/>
        <w:spacing w:before="108" w:after="0" w:line="234" w:lineRule="exact"/>
        <w:jc w:val="both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18"/>
          <w:lang w:val="pt-PT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14"/>
          <w:w w:val="100"/>
          <w:strike w:val="false"/>
          <w:vertAlign w:val="baseline"/>
          <w:rFonts w:ascii="Verdana" w:hAnsi="Verdana"/>
        </w:rPr>
        <w:t xml:space="preserve">A proposta adjudicada;</w:t>
      </w:r>
    </w:p>
    <w:p>
      <w:pPr>
        <w:ind w:right="0" w:left="1152" w:firstLine="-432"/>
        <w:spacing w:before="108" w:after="0" w:line="322" w:lineRule="exact"/>
        <w:jc w:val="left"/>
        <w:tabs>
          <w:tab w:val="clear" w:pos="432"/>
          <w:tab w:val="decimal" w:pos="1152"/>
        </w:tabs>
        <w:numPr>
          <w:ilvl w:val="0"/>
          <w:numId w:val="2"/>
        </w:numP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Os esclarecimentos e as retificações sobre a proposta adjudicada prestados pelo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adjudicatário.</w:t>
      </w:r>
    </w:p>
    <w:p>
      <w:pPr>
        <w:ind w:right="0" w:left="648" w:firstLine="-288"/>
        <w:spacing w:before="144" w:after="0" w:line="322" w:lineRule="exact"/>
        <w:jc w:val="both"/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3. Em caso de divergência entre os documentos referidos no número anterior, a ordem de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prevalência é a que nele se dispõe.</w:t>
      </w:r>
    </w:p>
    <w:p>
      <w:pPr>
        <w:ind w:right="0" w:left="648" w:firstLine="-288"/>
        <w:spacing w:before="108" w:after="0" w:line="351" w:lineRule="exact"/>
        <w:jc w:val="both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4. Em caso de divergência entre os documentos referidos no n.</w:t>
      </w:r>
      <w:r>
        <w:rPr>
          <w:color w:val="#000000"/>
          <w:sz w:val="18"/>
          <w:lang w:val="pt-PT"/>
          <w:spacing w:val="-2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 2 e o clausulado do contrato e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seus anexos, prevalecem os primeiros, salvo quanto aos ajustamentos propostos nos termos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do disposto no artigo 99.</w:t>
      </w:r>
      <w:r>
        <w:rPr>
          <w:color w:val="#000000"/>
          <w:sz w:val="18"/>
          <w:lang w:val="pt-PT"/>
          <w:spacing w:val="-2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, e aceites pelo adjudicatário de acordo com o artigo 101.</w:t>
      </w:r>
      <w:r>
        <w:rPr>
          <w:color w:val="#000000"/>
          <w:sz w:val="18"/>
          <w:lang w:val="pt-PT"/>
          <w:spacing w:val="-2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, ambos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do CCP.</w:t>
      </w:r>
    </w:p>
    <w:p>
      <w:pPr>
        <w:ind w:right="0" w:left="648" w:firstLine="-288"/>
        <w:spacing w:before="144" w:after="0" w:line="347" w:lineRule="exact"/>
        <w:jc w:val="both"/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5. A entidade adjudicatária obriga-se igualmente a respeitar, no que lhes seja aplicável, as </w:t>
      </w: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normas portuguesas e europeias, as especificações e documentos de homologação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organismos oficiais e as de fabricantes ou de entidades detentoras de patentes.</w:t>
      </w:r>
    </w:p>
    <w:p>
      <w:pPr>
        <w:ind w:right="36" w:left="0" w:firstLine="0"/>
        <w:spacing w:before="972" w:after="1764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3 de 32</w:t>
      </w:r>
    </w:p>
    <w:p>
      <w:pPr>
        <w:ind w:right="0" w:left="288" w:firstLine="0"/>
        <w:spacing w:before="36" w:after="0" w:line="278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75A59" from="27.9pt,0.25pt" to="438.5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na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N.2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34" w:right="1399" w:left="1459" w:header="720" w:footer="720"/>
          <w:titlePg w:val="false"/>
        </w:sectPr>
      </w:pPr>
    </w:p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9"/>
          <w:lang w:val="pt-PT"/>
          <w:spacing w:val="0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1F2833" from="-5.6pt,0.7pt" to="-5.6pt,28.6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0"/>
          <w:w w:val="70"/>
          <w:strike w:val="false"/>
          <w:vertAlign w:val="baseline"/>
          <w:rFonts w:ascii="Verdana" w:hAnsi="Verdana"/>
        </w:rPr>
        <w:t xml:space="preserve">SPMS.</w:t>
      </w:r>
    </w:p>
    <w:p>
      <w:pPr>
        <w:ind w:right="0" w:left="0" w:firstLine="0"/>
        <w:spacing w:before="0" w:after="0" w:line="192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3240" w:firstLine="0"/>
        <w:spacing w:before="504" w:after="0" w:line="233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3.</w:t>
      </w:r>
      <w:r>
        <w:rPr>
          <w:b w:val="true"/>
          <w:color w:val="#000000"/>
          <w:sz w:val="18"/>
          <w:lang w:val="pt-PT"/>
          <w:spacing w:val="2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— Prazo de vigência</w:t>
      </w:r>
    </w:p>
    <w:p>
      <w:pPr>
        <w:ind w:right="0" w:left="360" w:firstLine="72"/>
        <w:spacing w:before="108" w:after="0" w:line="361" w:lineRule="exact"/>
        <w:jc w:val="both"/>
        <w:tabs>
          <w:tab w:val="clear" w:pos="72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O contrato a celebrar vigora até à execução de todos os serviços, tendo como data-limite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dia 31 de dezembro de 2022, sem prejuízo da manutenção de obrigações acessórias que tenham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sido estabelecidas em favor da entidade adjudicante, incluindo as de confidencialidade e de garantia.</w:t>
      </w:r>
    </w:p>
    <w:p>
      <w:pPr>
        <w:ind w:right="0" w:left="360" w:firstLine="72"/>
        <w:spacing w:before="144" w:after="0" w:line="324" w:lineRule="exact"/>
        <w:jc w:val="left"/>
        <w:tabs>
          <w:tab w:val="clear" w:pos="72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O início dos serviços de desenvolvimento do aplicativo devem ocorrer até 2 semanas após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 data da adjudicação, assinalados com uma reunião de </w:t>
      </w:r>
      <w:r>
        <w:rPr>
          <w:i w:val="true"/>
          <w:color w:val="#000000"/>
          <w:sz w:val="19"/>
          <w:lang w:val="pt-PT"/>
          <w:spacing w:val="-2"/>
          <w:w w:val="100"/>
          <w:strike w:val="false"/>
          <w:vertAlign w:val="baseline"/>
          <w:rFonts w:ascii="Arial" w:hAnsi="Arial"/>
        </w:rPr>
        <w:t xml:space="preserve">Kick-off.</w:t>
      </w:r>
    </w:p>
    <w:p>
      <w:pPr>
        <w:ind w:right="0" w:left="360" w:firstLine="72"/>
        <w:spacing w:before="108" w:after="0" w:line="362" w:lineRule="exact"/>
        <w:jc w:val="both"/>
        <w:tabs>
          <w:tab w:val="clear" w:pos="720"/>
          <w:tab w:val="decimal" w:pos="1152"/>
        </w:tabs>
        <w:numPr>
          <w:ilvl w:val="0"/>
          <w:numId w:val="3"/>
        </w:numP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O adjudicatário deverá identificar um cronograma de execução com as diferentes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atividades previstas (indicando milestones e os entregáveis do projeto), em que o tempo que medeia entre a reunião de Kick-off e a data de entrada em produção (posterior aos testes de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aceitação) não deve ser superior a 9 meses.</w:t>
      </w:r>
    </w:p>
    <w:p>
      <w:pPr>
        <w:ind w:right="0" w:left="2664" w:firstLine="0"/>
        <w:spacing w:before="360" w:after="0" w:line="233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Cláusula 4.</w:t>
      </w:r>
      <w:r>
        <w:rPr>
          <w:b w:val="true"/>
          <w:color w:val="#000000"/>
          <w:sz w:val="18"/>
          <w:lang w:val="pt-PT"/>
          <w:spacing w:val="2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 — Local da prestação de serviços</w:t>
      </w:r>
    </w:p>
    <w:p>
      <w:pPr>
        <w:ind w:right="0" w:left="360" w:firstLine="0"/>
        <w:spacing w:before="144" w:after="0" w:line="348" w:lineRule="exact"/>
        <w:jc w:val="both"/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O local de prestação do serviço é nas instalações a indicar pela Unidade Local de Saúde de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Matosinhos, EPE, de acordo com as necessidades identificadas nos termos do Anexo I ao presente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caderno de encargos.</w:t>
      </w:r>
    </w:p>
    <w:p>
      <w:pPr>
        <w:ind w:right="0" w:left="3528" w:firstLine="0"/>
        <w:spacing w:before="360" w:after="0" w:line="229" w:lineRule="exact"/>
        <w:jc w:val="left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Cláusula 5.</w:t>
      </w:r>
      <w:r>
        <w:rPr>
          <w:b w:val="true"/>
          <w:color w:val="#000000"/>
          <w:sz w:val="18"/>
          <w:lang w:val="pt-PT"/>
          <w:spacing w:val="0"/>
          <w:w w:val="100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 — Preço base</w:t>
      </w:r>
    </w:p>
    <w:p>
      <w:pPr>
        <w:ind w:right="288" w:left="720" w:firstLine="-360"/>
        <w:spacing w:before="108" w:after="0" w:line="322" w:lineRule="exact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b w:val="true"/>
          <w:color w:val="#000000"/>
          <w:sz w:val="18"/>
          <w:lang w:val="pt-PT"/>
          <w:spacing w:val="-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-2"/>
          <w:w w:val="95"/>
          <w:strike w:val="false"/>
          <w:vertAlign w:val="baseline"/>
          <w:rFonts w:ascii="Tahoma" w:hAnsi="Tahoma"/>
        </w:rPr>
        <w:t xml:space="preserve">O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preço base total é de </w:t>
      </w:r>
      <w:r>
        <w:rPr>
          <w:b w:val="true"/>
          <w:color w:val="#000000"/>
          <w:sz w:val="18"/>
          <w:lang w:val="pt-PT"/>
          <w:spacing w:val="-2"/>
          <w:w w:val="95"/>
          <w:strike w:val="false"/>
          <w:vertAlign w:val="baseline"/>
          <w:rFonts w:ascii="Tahoma" w:hAnsi="Tahoma"/>
        </w:rPr>
        <w:t xml:space="preserve">240 000,00 €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(duzentos e quarenta mil euros), acrescido de IVA à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taxa legal em vigor.</w:t>
      </w:r>
    </w:p>
    <w:p>
      <w:pPr>
        <w:ind w:right="0" w:left="720" w:firstLine="-360"/>
        <w:spacing w:before="216" w:after="0" w:line="361" w:lineRule="exact"/>
        <w:jc w:val="both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10"/>
          <w:w w:val="100"/>
          <w:strike w:val="false"/>
          <w:vertAlign w:val="baseline"/>
          <w:rFonts w:ascii="Verdana" w:hAnsi="Verdana"/>
        </w:rPr>
        <w:t xml:space="preserve">O preço base do presente procedimento corresponde ao custo total da solução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(desenvolvimento do aplicativo e integrações, serviços de instalação/configuração com apoio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presencial ao arranque, testes de aceitação, formação/documentação e garantia mínima de </w:t>
      </w:r>
      <w:r>
        <w:rPr>
          <w:color w:val="#000000"/>
          <w:sz w:val="18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24 meses);</w:t>
      </w:r>
    </w:p>
    <w:p>
      <w:pPr>
        <w:ind w:right="0" w:left="720" w:firstLine="-360"/>
        <w:spacing w:before="180" w:after="0" w:line="350" w:lineRule="exact"/>
        <w:jc w:val="both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Se existir, indicar uma previsão de custos para o licenciamento anual dos produtos (software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de base ou outros) que devem ser instalados a nível dos servidores para assegurar o ambiente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de produção do aplicacional;</w:t>
      </w:r>
    </w:p>
    <w:p>
      <w:pPr>
        <w:ind w:right="0" w:left="720" w:firstLine="-360"/>
        <w:spacing w:before="216" w:after="0" w:line="322" w:lineRule="exact"/>
        <w:jc w:val="left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Indicar uma previsão dos custos de manutenção e suporte para o primeiro e segundo ano após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o </w:t>
      </w:r>
      <w:r>
        <w:rPr>
          <w:i w:val="true"/>
          <w:color w:val="#000000"/>
          <w:sz w:val="19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terminas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da garantia.</w:t>
      </w:r>
    </w:p>
    <w:p>
      <w:pPr>
        <w:ind w:right="288" w:left="720" w:firstLine="-360"/>
        <w:spacing w:before="108" w:after="0" w:line="352" w:lineRule="exact"/>
        <w:jc w:val="both"/>
        <w:tabs>
          <w:tab w:val="clear" w:pos="360"/>
          <w:tab w:val="decimal" w:pos="720"/>
        </w:tabs>
        <w:numPr>
          <w:ilvl w:val="0"/>
          <w:numId w:val="4"/>
        </w:numP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O preço base constante no número um corresponde ao preço máximo que a entidade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adjudicante se dispõem a pagar pela execução de todas as prestações que constituem o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objeto do contrato a celebrar.</w:t>
      </w:r>
    </w:p>
    <w:p>
      <w:pPr>
        <w:ind w:right="36" w:left="0" w:firstLine="0"/>
        <w:spacing w:before="180" w:after="1368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4 de 32</w:t>
      </w:r>
    </w:p>
    <w:p>
      <w:pPr>
        <w:ind w:right="0" w:left="288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95C5B" from="27.15pt,0.25pt" to="438.1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SPMS— Serviços Partilhados do Ministério da Saúde, E.P.E. Av. da República, n9 611050-189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furos N.</w:t>
      </w:r>
      <w:r>
        <w:rPr>
          <w:color w:val="#000000"/>
          <w:sz w:val="12"/>
          <w:lang w:val="pt-PT"/>
          <w:spacing w:val="-5"/>
          <w:w w:val="105"/>
          <w:strike w:val="false"/>
          <w:vertAlign w:val="superscript"/>
          <w:rFonts w:ascii="Verdana" w:hAnsi="Verdana"/>
        </w:rPr>
        <w:t xml:space="preserve">9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0" w:top="554" w:right="1407" w:left="1451" w:header="720" w:footer="720"/>
          <w:titlePg w:val="false"/>
        </w:sectPr>
      </w:pPr>
    </w:p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161E31" from="-5.45pt,1.1pt" to="-5.45pt,29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  <w:t xml:space="preserve">SPMS„,</w:t>
      </w:r>
    </w:p>
    <w:p>
      <w:pPr>
        <w:ind w:right="0" w:left="0" w:firstLine="0"/>
        <w:spacing w:before="0" w:after="0" w:line="273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2448" w:left="360" w:firstLine="2808"/>
        <w:spacing w:before="1224" w:after="0" w:line="422" w:lineRule="auto"/>
        <w:jc w:val="left"/>
        <w:rPr>
          <w:b w:val="true"/>
          <w:color w:val="#000000"/>
          <w:sz w:val="20"/>
          <w:lang w:val="pt-PT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0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Cláusula 6.</w:t>
      </w:r>
      <w:r>
        <w:rPr>
          <w:b w:val="true"/>
          <w:color w:val="#000000"/>
          <w:sz w:val="20"/>
          <w:lang w:val="pt-PT"/>
          <w:spacing w:val="-6"/>
          <w:w w:val="9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20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 — Revisão dos preços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Não haverá lugar à revisão de preços durante a vigência do contrato.</w:t>
      </w:r>
    </w:p>
    <w:p>
      <w:pPr>
        <w:ind w:right="0" w:left="3240" w:firstLine="0"/>
        <w:spacing w:before="396" w:after="0" w:line="254" w:lineRule="auto"/>
        <w:jc w:val="left"/>
        <w:rPr>
          <w:b w:val="true"/>
          <w:color w:val="#000000"/>
          <w:sz w:val="20"/>
          <w:lang w:val="pt-PT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0"/>
          <w:lang w:val="pt-PT"/>
          <w:spacing w:val="-10"/>
          <w:w w:val="100"/>
          <w:strike w:val="false"/>
          <w:vertAlign w:val="baseline"/>
          <w:rFonts w:ascii="Arial" w:hAnsi="Arial"/>
        </w:rPr>
        <w:t xml:space="preserve">Cláusula 7.</w:t>
      </w:r>
      <w:r>
        <w:rPr>
          <w:b w:val="true"/>
          <w:color w:val="#000000"/>
          <w:sz w:val="20"/>
          <w:lang w:val="pt-PT"/>
          <w:spacing w:val="-10"/>
          <w:w w:val="9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20"/>
          <w:lang w:val="pt-PT"/>
          <w:spacing w:val="-10"/>
          <w:w w:val="100"/>
          <w:strike w:val="false"/>
          <w:vertAlign w:val="baseline"/>
          <w:rFonts w:ascii="Arial" w:hAnsi="Arial"/>
        </w:rPr>
        <w:t xml:space="preserve"> — Inspeção e Testes</w:t>
      </w:r>
    </w:p>
    <w:p>
      <w:pPr>
        <w:ind w:right="288" w:left="648" w:firstLine="72"/>
        <w:spacing w:before="180" w:after="0" w:line="446" w:lineRule="auto"/>
        <w:jc w:val="both"/>
        <w:tabs>
          <w:tab w:val="clear" w:pos="432"/>
          <w:tab w:val="decimal" w:pos="1152"/>
        </w:tabs>
        <w:numPr>
          <w:ilvl w:val="0"/>
          <w:numId w:val="5"/>
        </w:numP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Efetuada a prestação de serviços do contrato, poderá a entidade adjudicante, por si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ou através de terceiro por ela designado, proceder à inspeção qualitativa dos serviços, com </w:t>
      </w:r>
      <w:r>
        <w:rPr>
          <w:color w:val="#000000"/>
          <w:sz w:val="18"/>
          <w:lang w:val="pt-PT"/>
          <w:spacing w:val="3"/>
          <w:w w:val="100"/>
          <w:strike w:val="false"/>
          <w:vertAlign w:val="baseline"/>
          <w:rFonts w:ascii="Verdana" w:hAnsi="Verdana"/>
        </w:rPr>
        <w:t xml:space="preserve">vista a verificar, respetivamente, se os mesmos correspondem às características, </w:t>
      </w:r>
      <w:r>
        <w:rPr>
          <w:color w:val="#000000"/>
          <w:sz w:val="18"/>
          <w:lang w:val="pt-PT"/>
          <w:spacing w:val="1"/>
          <w:w w:val="100"/>
          <w:strike w:val="false"/>
          <w:vertAlign w:val="baseline"/>
          <w:rFonts w:ascii="Verdana" w:hAnsi="Verdana"/>
        </w:rPr>
        <w:t xml:space="preserve">especificações e requisitos técnicos e operacionais exigidos no presente Caderno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Encargos e na proposta adjudicada, bem como os demais requisitos exigidos por lei.</w:t>
      </w:r>
    </w:p>
    <w:p>
      <w:pPr>
        <w:ind w:right="288" w:left="648" w:firstLine="72"/>
        <w:spacing w:before="144" w:after="0" w:line="446" w:lineRule="auto"/>
        <w:jc w:val="both"/>
        <w:tabs>
          <w:tab w:val="clear" w:pos="432"/>
          <w:tab w:val="decimal" w:pos="1152"/>
        </w:tabs>
        <w:numPr>
          <w:ilvl w:val="0"/>
          <w:numId w:val="5"/>
        </w:numP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Sempre que o Caderno de Encargos exija uma fase realização de testes, o adjudicatário </w:t>
      </w:r>
      <w:r>
        <w:rPr>
          <w:color w:val="#000000"/>
          <w:sz w:val="18"/>
          <w:lang w:val="pt-PT"/>
          <w:spacing w:val="2"/>
          <w:w w:val="100"/>
          <w:strike w:val="false"/>
          <w:vertAlign w:val="baseline"/>
          <w:rFonts w:ascii="Verdana" w:hAnsi="Verdana"/>
        </w:rPr>
        <w:t xml:space="preserve">deve prestar à entidade adjudicante toda a cooperação e todos os esclarecimentos </w:t>
      </w:r>
      <w:r>
        <w:rPr>
          <w:color w:val="#000000"/>
          <w:sz w:val="18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necessários, podendo fazer-se representar durante a realização daqueles, através de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pessoas devidamente credenciadas para o efeito.</w:t>
      </w:r>
    </w:p>
    <w:p>
      <w:pPr>
        <w:ind w:right="288" w:left="648" w:firstLine="72"/>
        <w:spacing w:before="144" w:after="0" w:line="446" w:lineRule="auto"/>
        <w:jc w:val="left"/>
        <w:numPr>
          <w:ilvl w:val="0"/>
          <w:numId w:val="5"/>
        </w:numPr>
        <w:rPr>
          <w:color w:val="#000000"/>
          <w:sz w:val="18"/>
          <w:lang w:val="pt-PT"/>
          <w:spacing w:val="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9"/>
          <w:w w:val="100"/>
          <w:strike w:val="false"/>
          <w:vertAlign w:val="baseline"/>
          <w:rFonts w:ascii="Verdana" w:hAnsi="Verdana"/>
        </w:rPr>
        <w:t xml:space="preserve">Os encargos com a realização dos testes, devidamente comprovados, são da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responsabilidade do adjudicatário.</w:t>
      </w:r>
    </w:p>
    <w:p>
      <w:pPr>
        <w:ind w:right="0" w:left="1944" w:firstLine="0"/>
        <w:spacing w:before="396" w:after="0" w:line="247" w:lineRule="auto"/>
        <w:jc w:val="left"/>
        <w:rPr>
          <w:b w:val="true"/>
          <w:color w:val="#000000"/>
          <w:sz w:val="20"/>
          <w:lang w:val="pt-PT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0"/>
          <w:lang w:val="pt-PT"/>
          <w:spacing w:val="-7"/>
          <w:w w:val="100"/>
          <w:strike w:val="false"/>
          <w:vertAlign w:val="baseline"/>
          <w:rFonts w:ascii="Arial" w:hAnsi="Arial"/>
        </w:rPr>
        <w:t xml:space="preserve">Cláusula 8.</w:t>
      </w:r>
      <w:r>
        <w:rPr>
          <w:b w:val="true"/>
          <w:color w:val="#000000"/>
          <w:sz w:val="20"/>
          <w:lang w:val="pt-PT"/>
          <w:spacing w:val="-7"/>
          <w:w w:val="95"/>
          <w:strike w:val="false"/>
          <w:vertAlign w:val="superscript"/>
          <w:rFonts w:ascii="Arial" w:hAnsi="Arial"/>
        </w:rPr>
        <w:t xml:space="preserve">2</w:t>
      </w:r>
      <w:r>
        <w:rPr>
          <w:b w:val="true"/>
          <w:color w:val="#000000"/>
          <w:sz w:val="20"/>
          <w:lang w:val="pt-PT"/>
          <w:spacing w:val="-7"/>
          <w:w w:val="100"/>
          <w:strike w:val="false"/>
          <w:vertAlign w:val="baseline"/>
          <w:rFonts w:ascii="Arial" w:hAnsi="Arial"/>
        </w:rPr>
        <w:t xml:space="preserve"> — inoperacionalidade, defeitos ou discrepâncias</w:t>
      </w:r>
    </w:p>
    <w:p>
      <w:pPr>
        <w:ind w:right="216" w:left="360" w:firstLine="0"/>
        <w:spacing w:before="180" w:after="0" w:line="439" w:lineRule="auto"/>
        <w:jc w:val="both"/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No caso de os testes previstos na cláusula anterior não comprovarem a total operacionalidade </w:t>
      </w:r>
      <w:r>
        <w:rPr>
          <w:color w:val="#000000"/>
          <w:sz w:val="18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dos serviços objeto do contrato, bem como a sua conformidade com as exigências legais, ou no </w:t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caso de existirem defeitos ou discrepâncias com as características,especificações e requisitos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técnicos definidos no presente Caderno de Encargos, a entidade adjudicante deve informar, por </w:t>
      </w:r>
      <w:r>
        <w:rPr>
          <w:color w:val="#000000"/>
          <w:sz w:val="18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escrito, o adjudicatário, fixando desde logo um prazo para a sua correção.</w:t>
      </w:r>
    </w:p>
    <w:p>
      <w:pPr>
        <w:ind w:right="216" w:left="360" w:firstLine="0"/>
        <w:spacing w:before="216" w:after="0" w:line="439" w:lineRule="auto"/>
        <w:jc w:val="both"/>
        <w:rPr>
          <w:color w:val="#000000"/>
          <w:sz w:val="18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No caso previsto no número anterior, o adjudicatário deve proceder, à sua custa e no prazo razoável </w:t>
      </w: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que for determinado pela entidade adjudicante, às correções necessárias para garantir a </w:t>
      </w:r>
      <w:r>
        <w:rPr>
          <w:color w:val="#000000"/>
          <w:sz w:val="18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operacionalidade e o cumprimento das exigências legais e das características, especificações e </w:t>
      </w:r>
      <w:r>
        <w:rPr>
          <w:color w:val="#000000"/>
          <w:sz w:val="18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requisitos técnicos exigidos.</w:t>
      </w:r>
    </w:p>
    <w:p>
      <w:pPr>
        <w:ind w:right="0" w:left="144" w:firstLine="0"/>
        <w:spacing w:before="180" w:after="0" w:line="441" w:lineRule="auto"/>
        <w:jc w:val="center"/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Após a realização das correções necessárias pelo adjudicatário, no prazo respetivo, a entidade
</w:t>
        <w:br/>
      </w:r>
      <w:r>
        <w:rPr>
          <w:color w:val="#000000"/>
          <w:sz w:val="18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adjudicante procede à realização de novos testes de aceitação, nos termos da cláusula anterior.</w:t>
      </w:r>
    </w:p>
    <w:p>
      <w:pPr>
        <w:ind w:right="36" w:left="0" w:firstLine="0"/>
        <w:spacing w:before="1008" w:after="108" w:line="211" w:lineRule="auto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5 de 32</w:t>
      </w:r>
    </w:p>
    <w:p>
      <w:pPr>
        <w:ind w:right="0" w:left="288" w:firstLine="0"/>
        <w:spacing w:before="36" w:after="0" w:line="28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45756" from="27.85pt,0.25pt" to="438.3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—Serviços Partilhados do Ministério da Saúde, E.P.E. Av. da República, ng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Furos N.</w:t>
      </w:r>
      <w:r>
        <w:rPr>
          <w:color w:val="#000000"/>
          <w:sz w:val="12"/>
          <w:lang w:val="pt-PT"/>
          <w:spacing w:val="-5"/>
          <w:w w:val="110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único de matrícula na C.R.C. Lisboa e de pessoa coletiva 509 540716</w:t>
      </w:r>
    </w:p>
    <w:sectPr>
      <w:pgSz w:w="11918" w:h="16854" w:orient="portrait"/>
      <w:type w:val="nextPage"/>
      <w:textDirection w:val="lrTb"/>
      <w:pgMar w:bottom="450" w:top="554" w:right="1417" w:left="144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."/>
      <w:start w:val="1"/>
      <w:lvlJc w:val="left"/>
      <w:pPr>
        <w:ind w:left="720"/>
        <w:tabs>
          <w:tab w:val="decimal" w:pos="432"/>
        </w:tabs>
      </w:pPr>
      <w:rPr>
        <w:color w:val="#000000"/>
        <w:sz w:val="18"/>
        <w:lang w:val="pt-PT"/>
        <w:spacing w:val="-1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720"/>
        </w:tabs>
      </w:pPr>
      <w:rPr>
        <w:color w:val="#000000"/>
        <w:sz w:val="18"/>
        <w:lang w:val="pt-PT"/>
        <w:spacing w:val="-2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18"/>
        <w:lang w:val="pt-PT"/>
        <w:spacing w:val="-2"/>
        <w:w w:val="95"/>
        <w:strike w:val="false"/>
        <w:vertAlign w:val="baseline"/>
        <w:rFonts w:ascii="Tahoma" w:hAnsi="Tahoma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432"/>
        </w:tabs>
      </w:pPr>
      <w:rPr>
        <w:color w:val="#000000"/>
        <w:sz w:val="18"/>
        <w:lang w:val="pt-PT"/>
        <w:spacing w:val="-1"/>
        <w:w w:val="100"/>
        <w:strike w:val="false"/>
        <w:vertAlign w:val="baseline"/>
        <w:rFonts w:ascii="Verdana" w:hAnsi="Verdan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