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E1928" from="-7.55pt,1.35pt" to="-7.55pt,29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SPMS,„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2664" w:firstLine="0"/>
        <w:spacing w:before="504" w:after="0" w:line="225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18.2 — Responsabilidade das partes</w:t>
      </w:r>
    </w:p>
    <w:p>
      <w:pPr>
        <w:ind w:right="360" w:left="648" w:firstLine="-216"/>
        <w:spacing w:before="108" w:after="0" w:line="347" w:lineRule="exact"/>
        <w:jc w:val="both"/>
        <w:tabs>
          <w:tab w:val="clear" w:pos="216"/>
          <w:tab w:val="decimal" w:pos="648"/>
        </w:tabs>
        <w:numPr>
          <w:ilvl w:val="0"/>
          <w:numId w:val="2"/>
        </w:numP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Cada uma das partes deve cumprir as obrigações emergentes do contrato e responde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perante a outra por quaisquer danos que resultem do incumprimento ou do cumprimento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defeituoso dessas obrigações, nos termos do presente caderno de encargos e da lei.</w:t>
      </w:r>
    </w:p>
    <w:p>
      <w:pPr>
        <w:ind w:right="360" w:left="648" w:firstLine="-216"/>
        <w:spacing w:before="144" w:after="0" w:line="322" w:lineRule="exact"/>
        <w:jc w:val="left"/>
        <w:tabs>
          <w:tab w:val="clear" w:pos="216"/>
          <w:tab w:val="decimal" w:pos="648"/>
        </w:tabs>
        <w:numPr>
          <w:ilvl w:val="0"/>
          <w:numId w:val="2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adjudicatário é responsável perante a entidade adjudicante, pelo exato e pontual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cumprimento de todas as obrigações contratuais assumidas.</w:t>
      </w:r>
    </w:p>
    <w:p>
      <w:pPr>
        <w:ind w:right="360" w:left="648" w:firstLine="-216"/>
        <w:spacing w:before="108" w:after="0" w:line="361" w:lineRule="exact"/>
        <w:jc w:val="both"/>
        <w:tabs>
          <w:tab w:val="clear" w:pos="216"/>
          <w:tab w:val="decimal" w:pos="648"/>
        </w:tabs>
        <w:numPr>
          <w:ilvl w:val="0"/>
          <w:numId w:val="2"/>
        </w:numP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Sem prejuízo do disposto no número anterior, o adjudicatário deve dar imediato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conhecimento à entidade adjudicante, da ocorrência de qualquer diferendo ou litígio com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os terceiros subcontratados em relação com a execução do contrato e prestar-lhe toda 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informação relativa à evolução dos mesmos.</w:t>
      </w:r>
    </w:p>
    <w:p>
      <w:pPr>
        <w:ind w:right="0" w:left="648" w:firstLine="-216"/>
        <w:spacing w:before="108" w:after="0" w:line="237" w:lineRule="exact"/>
        <w:jc w:val="both"/>
        <w:tabs>
          <w:tab w:val="clear" w:pos="216"/>
          <w:tab w:val="decimal" w:pos="648"/>
        </w:tabs>
        <w:numPr>
          <w:ilvl w:val="0"/>
          <w:numId w:val="2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responsabilidade do adjudicatário prescreve nos termos da lei civil.</w:t>
      </w:r>
    </w:p>
    <w:p>
      <w:pPr>
        <w:ind w:right="0" w:left="3384" w:firstLine="0"/>
        <w:spacing w:before="396" w:after="0" w:line="233" w:lineRule="exact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19.2 — Força maior</w:t>
      </w:r>
    </w:p>
    <w:p>
      <w:pPr>
        <w:ind w:right="360" w:left="648" w:firstLine="-288"/>
        <w:spacing w:before="108" w:after="0" w:line="320" w:lineRule="exact"/>
        <w:jc w:val="left"/>
        <w:tabs>
          <w:tab w:val="clear" w:pos="288"/>
          <w:tab w:val="decimal" w:pos="648"/>
        </w:tabs>
        <w:numPr>
          <w:ilvl w:val="0"/>
          <w:numId w:val="3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Nenhuma das partes incorrerá em responsabilidade se, por caso fortuito ou de força maior,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for impedida de cumprir as obrigações assumidas no contrato.</w:t>
      </w:r>
    </w:p>
    <w:p>
      <w:pPr>
        <w:ind w:right="360" w:left="648" w:firstLine="-288"/>
        <w:spacing w:before="144" w:after="0" w:line="348" w:lineRule="exact"/>
        <w:jc w:val="both"/>
        <w:tabs>
          <w:tab w:val="clear" w:pos="288"/>
          <w:tab w:val="decimal" w:pos="648"/>
        </w:tabs>
        <w:numPr>
          <w:ilvl w:val="0"/>
          <w:numId w:val="3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Entende-se por caso fortuito ou de força maior qualquer situação ou acontecimento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imprevisível e excecional, independente da vontade das partes, e que não derive de falta ou negligência de qualquer delas.</w:t>
      </w:r>
    </w:p>
    <w:p>
      <w:pPr>
        <w:ind w:right="360" w:left="648" w:firstLine="-288"/>
        <w:spacing w:before="108" w:after="0" w:line="361" w:lineRule="exact"/>
        <w:jc w:val="both"/>
        <w:tabs>
          <w:tab w:val="clear" w:pos="288"/>
          <w:tab w:val="decimal" w:pos="648"/>
        </w:tabs>
        <w:numPr>
          <w:ilvl w:val="0"/>
          <w:numId w:val="3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Podem constituir força maior se se verificarem os requisitos do número anterior,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designadamente, epidemias, greves, tremores de terra, inundações, incêndios, sabotagem,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atos de guerra ou terrorismo, motins, embargos ou bloqueios internacionais 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determinações governamentais ou administrativas injuntivas.</w:t>
      </w:r>
    </w:p>
    <w:p>
      <w:pPr>
        <w:ind w:right="360" w:left="648" w:firstLine="-288"/>
        <w:spacing w:before="144" w:after="0" w:line="334" w:lineRule="exact"/>
        <w:jc w:val="both"/>
        <w:tabs>
          <w:tab w:val="clear" w:pos="288"/>
          <w:tab w:val="decimal" w:pos="648"/>
        </w:tabs>
        <w:numPr>
          <w:ilvl w:val="0"/>
          <w:numId w:val="3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A parte que invocar uma causa de força maior deve imediatamente, informar a outra da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respetiva ocorrência e empenhar os seus melhores esforços para limitar as consequências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daí decorrentes.</w:t>
      </w:r>
    </w:p>
    <w:p>
      <w:pPr>
        <w:ind w:right="360" w:left="648" w:firstLine="-288"/>
        <w:spacing w:before="144" w:after="0" w:line="347" w:lineRule="exact"/>
        <w:jc w:val="both"/>
        <w:tabs>
          <w:tab w:val="clear" w:pos="288"/>
          <w:tab w:val="decimal" w:pos="648"/>
        </w:tabs>
        <w:numPr>
          <w:ilvl w:val="0"/>
          <w:numId w:val="3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 força maior determina a prorrogação dos prazos de cumprimento das obrigações </w:t>
      </w: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contratuais afetadas pelo período de tempo comprovadamente correspondente ao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impedimento resultante da força maior.</w:t>
      </w:r>
    </w:p>
    <w:p>
      <w:pPr>
        <w:ind w:right="0" w:left="3240" w:firstLine="0"/>
        <w:spacing w:before="360" w:after="0" w:line="229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20.2 — Resolução do contrato</w:t>
      </w:r>
    </w:p>
    <w:p>
      <w:pPr>
        <w:ind w:right="72" w:left="576" w:firstLine="-360"/>
        <w:spacing w:before="108" w:after="0" w:line="347" w:lineRule="exact"/>
        <w:jc w:val="both"/>
        <w:rPr>
          <w:b w:val="true"/>
          <w:color w:val="#000000"/>
          <w:sz w:val="18"/>
          <w:lang w:val="pt-PT"/>
          <w:spacing w:val="-6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-6"/>
          <w:w w:val="95"/>
          <w:strike w:val="false"/>
          <w:vertAlign w:val="baseline"/>
          <w:rFonts w:ascii="Tahoma" w:hAnsi="Tahoma"/>
        </w:rPr>
        <w:t xml:space="preserve">1.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 incumprimento das obrigações resultantes do contrato ou a prossecução deficiente do seu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objeto por parte do adjudicatário, constitui fundamento de resolução por parte da entidade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adjudicante.</w:t>
      </w:r>
    </w:p>
    <w:p>
      <w:pPr>
        <w:ind w:right="108" w:left="0" w:firstLine="0"/>
        <w:spacing w:before="180" w:after="1296" w:line="168" w:lineRule="exact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11 de 32</w:t>
      </w:r>
    </w:p>
    <w:p>
      <w:pPr>
        <w:ind w:right="0" w:left="216" w:firstLine="0"/>
        <w:spacing w:before="36" w:after="0" w:line="278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35554" from="25pt,0.25pt" to="436.3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34" w:right="1351" w:left="1507" w:header="720" w:footer="720"/>
          <w:titlePg w:val="false"/>
        </w:sectPr>
      </w:pPr>
    </w:p>
    <w:p>
      <w:pPr>
        <w:ind w:right="0" w:left="0" w:firstLine="0"/>
        <w:spacing w:before="0" w:after="0" w:line="393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55pt" strokecolor="#151C2B" from="-5.8pt,1pt" to="-5.8pt,28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SPMS,„</w:t>
      </w:r>
    </w:p>
    <w:p>
      <w:pPr>
        <w:ind w:right="0" w:left="0" w:firstLine="0"/>
        <w:spacing w:before="0" w:after="0" w:line="271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720" w:firstLine="-360"/>
        <w:spacing w:before="756" w:after="0" w:line="446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 exercício do direito de resolução não prejudica o dever de indemnizar a entidade adjudicante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pelos eventuais prejuízos resultantes das situações previstas no número anterior.</w:t>
      </w:r>
    </w:p>
    <w:p>
      <w:pPr>
        <w:ind w:right="72" w:left="720" w:firstLine="-360"/>
        <w:spacing w:before="144" w:after="0" w:line="448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A resolução do contrato é notificada por correio sob registo e com aviso de receção,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produzindo efeitos a partir da data da respetiva notificação.</w:t>
      </w:r>
    </w:p>
    <w:p>
      <w:pPr>
        <w:ind w:right="72" w:left="720" w:firstLine="-360"/>
        <w:spacing w:before="108" w:after="0" w:line="446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 cessação dos efeitos do contrato não prejudica a verificação da responsabilidade civil ou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criminal por atos ocorridos durante a execução da prestação.</w:t>
      </w:r>
    </w:p>
    <w:p>
      <w:pPr>
        <w:ind w:right="72" w:left="720" w:firstLine="-360"/>
        <w:spacing w:before="144" w:after="0" w:line="446" w:lineRule="auto"/>
        <w:jc w:val="both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Em caso de resolução do contrato o adjudicatário é obrigado a entregar de imediato toda 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documentação e informação, independentemente da forma que esta revista, produzida no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âmbito do contrato e que esteja em sua posse, a qual é, para todos os efeitos, propriedade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exclusiva da entidade adjudicante.</w:t>
      </w:r>
    </w:p>
    <w:p>
      <w:pPr>
        <w:ind w:right="72" w:left="720" w:firstLine="-360"/>
        <w:spacing w:before="108" w:after="0" w:line="448" w:lineRule="auto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resolução do contrato não prejudica a aplicação de qualquer das sanções previstas no presente caderno de encargos.</w:t>
      </w:r>
    </w:p>
    <w:p>
      <w:pPr>
        <w:ind w:right="0" w:left="3456" w:firstLine="0"/>
        <w:spacing w:before="360" w:after="0" w:line="211" w:lineRule="auto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21.2. — Gestor do Contrato</w:t>
      </w:r>
    </w:p>
    <w:p>
      <w:pPr>
        <w:ind w:right="72" w:left="360" w:firstLine="0"/>
        <w:spacing w:before="144" w:after="0" w:line="446" w:lineRule="auto"/>
        <w:jc w:val="both"/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Nos termos e para os efeitos do disposto no artigo 290.-</w:t>
      </w:r>
      <w:r>
        <w:rPr>
          <w:color w:val="#000000"/>
          <w:sz w:val="18"/>
          <w:lang w:val="pt-PT"/>
          <w:spacing w:val="-4"/>
          <w:w w:val="105"/>
          <w:strike w:val="false"/>
          <w:vertAlign w:val="superscript"/>
          <w:rFonts w:ascii="Verdana" w:hAnsi="Verdana"/>
        </w:rPr>
        <w:t xml:space="preserve">9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—A do CCP, o gestor do contrato será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nomeado pela entidade adjudicante aquando da assinatura do mesmo, tendo como função 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acompanhamento da sua execução nos termos melhor descritos no sobredito artigo do CCP.</w:t>
      </w:r>
    </w:p>
    <w:p>
      <w:pPr>
        <w:ind w:right="0" w:left="2592" w:firstLine="0"/>
        <w:spacing w:before="612" w:after="0" w:line="244" w:lineRule="auto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22.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— Utilização dos sistemas de informação</w:t>
      </w:r>
    </w:p>
    <w:p>
      <w:pPr>
        <w:ind w:right="72" w:left="360" w:firstLine="0"/>
        <w:spacing w:before="144" w:after="0" w:line="446" w:lineRule="auto"/>
        <w:jc w:val="both"/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Caso a execução do presente contrato implique o acesso às instalações e a utilização dos sistemas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de informação da entidade adjudicante por colaboradores ou subcontratados do adjudicatário, os mesmos obrigam-se ao cumprimento integral das regras de utilização dos sistemas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informação em vigor na entidade adjudicante.</w:t>
      </w:r>
    </w:p>
    <w:p>
      <w:pPr>
        <w:ind w:right="0" w:left="2664" w:firstLine="0"/>
        <w:spacing w:before="396" w:after="0" w:line="244" w:lineRule="auto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23.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 — Comunicações e notificações</w:t>
      </w:r>
    </w:p>
    <w:p>
      <w:pPr>
        <w:ind w:right="72" w:left="432" w:firstLine="-288"/>
        <w:spacing w:before="108" w:after="0" w:line="444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As notificações e comunicações entre as partes, realizadas no âmbito do contrato, devem ser dirigidas, para o domicílio ou sede contratual da contraparte, aí identificados, nos termos do CCP.</w:t>
      </w:r>
    </w:p>
    <w:p>
      <w:pPr>
        <w:ind w:right="72" w:left="432" w:firstLine="-288"/>
        <w:spacing w:before="144" w:after="0" w:line="451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Qualquer alteração dos elementos identificativos das partes constante do contrato deve ser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comunicada à outra parte.</w:t>
      </w:r>
    </w:p>
    <w:p>
      <w:pPr>
        <w:ind w:right="72" w:left="0" w:firstLine="0"/>
        <w:spacing w:before="1044" w:after="108" w:line="211" w:lineRule="auto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12 de 32</w:t>
      </w:r>
    </w:p>
    <w:p>
      <w:pPr>
        <w:ind w:right="0" w:left="288" w:firstLine="0"/>
        <w:spacing w:before="36" w:after="0" w:line="300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4C4F4E" from="274.5pt,0.15pt" to="438.7pt,0.1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34544" from="150.45pt,0.35pt" to="204.35pt,0.3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24443" from="48.4pt,0.7pt" to="89.85pt,0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SPMS— Serviços Partilhados do Ministério da Saúde, E.P.E. Av. da República, n</w:t>
      </w:r>
      <w:r>
        <w:rPr>
          <w:color w:val="#000000"/>
          <w:sz w:val="11"/>
          <w:lang w:val="pt-PT"/>
          <w:spacing w:val="0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34" w:right="1399" w:left="145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Arial" w:hAnsi="Arial"/>
        </w:rPr>
      </w:pPr>
      <w:r>
        <w:pict>
          <v:line strokeweight="0.35pt" strokecolor="#000000" from="-6.05pt,1.45pt" to="-6.05pt,29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Arial" w:hAnsi="Arial"/>
        </w:rPr>
        <w:t xml:space="preserve">SPMS„z</w:t>
      </w:r>
    </w:p>
    <w:p>
      <w:pPr>
        <w:ind w:right="0" w:left="0" w:firstLine="0"/>
        <w:spacing w:before="0" w:after="0" w:line="28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3024" w:firstLine="0"/>
        <w:spacing w:before="756" w:after="0" w:line="240" w:lineRule="auto"/>
        <w:jc w:val="left"/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Cláusula 24.</w:t>
      </w:r>
      <w:r>
        <w:rPr>
          <w:b w:val="true"/>
          <w:color w:val="#000000"/>
          <w:sz w:val="19"/>
          <w:lang w:val="pt-PT"/>
          <w:spacing w:val="-5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 — Contagem dos prazos</w:t>
      </w:r>
    </w:p>
    <w:p>
      <w:pPr>
        <w:ind w:right="0" w:left="360" w:firstLine="0"/>
        <w:spacing w:before="180" w:after="0" w:line="429" w:lineRule="auto"/>
        <w:jc w:val="left"/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Salvo disposição em contrário, os prazos previstos no contrato são contínuos, correndo em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sábados, domingos e dias feriados.</w:t>
      </w:r>
    </w:p>
    <w:p>
      <w:pPr>
        <w:ind w:right="0" w:left="2664" w:firstLine="0"/>
        <w:spacing w:before="396" w:after="0" w:line="264" w:lineRule="auto"/>
        <w:jc w:val="left"/>
        <w:rPr>
          <w:b w:val="true"/>
          <w:color w:val="#000000"/>
          <w:sz w:val="19"/>
          <w:lang w:val="pt-PT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3"/>
          <w:w w:val="100"/>
          <w:strike w:val="false"/>
          <w:vertAlign w:val="baseline"/>
          <w:rFonts w:ascii="Arial" w:hAnsi="Arial"/>
        </w:rPr>
        <w:t xml:space="preserve">Cláusula 25.</w:t>
      </w:r>
      <w:r>
        <w:rPr>
          <w:b w:val="true"/>
          <w:color w:val="#000000"/>
          <w:sz w:val="19"/>
          <w:lang w:val="pt-PT"/>
          <w:spacing w:val="-3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9"/>
          <w:lang w:val="pt-PT"/>
          <w:spacing w:val="-3"/>
          <w:w w:val="100"/>
          <w:strike w:val="false"/>
          <w:vertAlign w:val="baseline"/>
          <w:rFonts w:ascii="Arial" w:hAnsi="Arial"/>
        </w:rPr>
        <w:t xml:space="preserve"> — Legislação e foro competente</w:t>
      </w:r>
    </w:p>
    <w:p>
      <w:pPr>
        <w:ind w:right="0" w:left="432" w:firstLine="-288"/>
        <w:spacing w:before="144" w:after="0" w:line="422" w:lineRule="auto"/>
        <w:jc w:val="both"/>
        <w:tabs>
          <w:tab w:val="clear" w:pos="288"/>
          <w:tab w:val="decimal" w:pos="432"/>
        </w:tabs>
        <w:numPr>
          <w:ilvl w:val="0"/>
          <w:numId w:val="6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A tudo o que não esteja especialmente previsto no presente caderno de encargos aplica-se a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legislação portuguesa e, em especial, o regime constante do Código dos Contratos Públicos, o qual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prevalece sobre as disposições que lhe sejam desconformes.</w:t>
      </w:r>
    </w:p>
    <w:p>
      <w:pPr>
        <w:ind w:right="0" w:left="432" w:firstLine="-288"/>
        <w:spacing w:before="108" w:after="9180" w:line="429" w:lineRule="auto"/>
        <w:jc w:val="left"/>
        <w:tabs>
          <w:tab w:val="clear" w:pos="288"/>
          <w:tab w:val="decimal" w:pos="432"/>
        </w:tabs>
        <w:numPr>
          <w:ilvl w:val="0"/>
          <w:numId w:val="6"/>
        </w:numP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Para resolução de todos os litígios decorrentes do contrato aplica-se o previsto no Código de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Processo nos Tribunais Administrativos.</w:t>
      </w:r>
    </w:p>
    <w:p>
      <w:pPr>
        <w:ind w:right="36" w:left="0" w:firstLine="0"/>
        <w:spacing w:before="0" w:after="108" w:line="201" w:lineRule="auto"/>
        <w:jc w:val="right"/>
        <w:rPr>
          <w:color w:val="#000000"/>
          <w:sz w:val="17"/>
          <w:lang w:val="pt-PT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pt-PT"/>
          <w:spacing w:val="0"/>
          <w:w w:val="105"/>
          <w:strike w:val="false"/>
          <w:vertAlign w:val="baseline"/>
          <w:rFonts w:ascii="Times New Roman" w:hAnsi="Times New Roman"/>
        </w:rPr>
        <w:t xml:space="preserve">13 de 32</w:t>
      </w:r>
    </w:p>
    <w:p>
      <w:pPr>
        <w:ind w:right="0" w:left="360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000000" from="29.2pt,0.25pt" to="440.0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402" w:left="1456" w:header="720" w:footer="720"/>
          <w:titlePg w:val="false"/>
        </w:sectPr>
      </w:pPr>
    </w:p>
    <w:p>
      <w:pPr>
        <w:ind w:right="0" w:left="0" w:firstLine="0"/>
        <w:spacing w:before="0" w:after="0" w:line="393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55pt" strokecolor="#18232E" from="-5.8pt,1pt" to="-5.8pt,28.7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SPMS„,</w:t>
      </w:r>
    </w:p>
    <w:p>
      <w:pPr>
        <w:ind w:right="0" w:left="0" w:firstLine="0"/>
        <w:spacing w:before="0" w:after="0" w:line="196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288" w:firstLine="0"/>
        <w:spacing w:before="504" w:after="0" w:line="310" w:lineRule="exact"/>
        <w:jc w:val="center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Anexo 1
</w:t>
        <w:br/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Requisitos Técnicos</w:t>
      </w:r>
    </w:p>
    <w:p>
      <w:pPr>
        <w:ind w:right="0" w:left="288" w:firstLine="0"/>
        <w:spacing w:before="432" w:after="0" w:line="374" w:lineRule="exact"/>
        <w:jc w:val="center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Artigo 1.2
</w:t>
        <w:br/>
      </w:r>
      <w:r>
        <w:rPr>
          <w:b w:val="true"/>
          <w:color w:val="#000000"/>
          <w:sz w:val="18"/>
          <w:lang w:val="pt-PT"/>
          <w:spacing w:val="6"/>
          <w:w w:val="95"/>
          <w:strike w:val="false"/>
          <w:vertAlign w:val="baseline"/>
          <w:rFonts w:ascii="Tahoma" w:hAnsi="Tahoma"/>
        </w:rPr>
        <w:t xml:space="preserve">Enquadramento</w:t>
      </w:r>
    </w:p>
    <w:p>
      <w:pPr>
        <w:ind w:right="72" w:left="720" w:firstLine="0"/>
        <w:spacing w:before="216" w:after="0" w:line="376" w:lineRule="exact"/>
        <w:jc w:val="both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 notificação de suspeitas de Reações Adversas a Medicamentos (RAM) é essencial para 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conhecimento do perfil de segurança dos medicamentos comercializados e é um método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eficiente de geração de sinais de segurança e consequente avaliação da segurança dos medicamentos. É o principal método utilizado pelo Sistema Nacional de Farmacovigilância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para monitorização da segurança dos medicamentos comercializados e serve de base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informação para a tomada de decisão nesta área.</w:t>
      </w:r>
    </w:p>
    <w:p>
      <w:pPr>
        <w:ind w:right="72" w:left="720" w:firstLine="0"/>
        <w:spacing w:before="180" w:after="0" w:line="378" w:lineRule="exact"/>
        <w:jc w:val="both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No âmbito das RAM, as reações alérgicas a medicamentos afiguram-se como de particular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importância. Por um lado, a prescrição de medicamentos a doentes que são realmente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alérgicos aos mesmos poderá colocar em risco a saúde do doente. Por outro lado, doentes com falsos diagnósticos de alergia medicamentosa tendem a receber tratamentos menos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eficazes e mais caros. A existência de um registo sistemático de alergia a medicamentos,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associado a um sistema de apoio à decisão clínica, poderá ajudar a optar pelas opções </w:t>
      </w:r>
      <w:r>
        <w:rPr>
          <w:color w:val="#000000"/>
          <w:sz w:val="18"/>
          <w:lang w:val="pt-PT"/>
          <w:spacing w:val="10"/>
          <w:w w:val="100"/>
          <w:strike w:val="false"/>
          <w:vertAlign w:val="baseline"/>
          <w:rFonts w:ascii="Verdana" w:hAnsi="Verdana"/>
        </w:rPr>
        <w:t xml:space="preserve">diagnósticas e terapêuticas mais adequadas em doentes que reportam alergia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medicamentosa.</w:t>
      </w:r>
    </w:p>
    <w:p>
      <w:pPr>
        <w:ind w:right="72" w:left="720" w:firstLine="0"/>
        <w:spacing w:before="216" w:after="0" w:line="371" w:lineRule="exact"/>
        <w:jc w:val="both"/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Para combater o problema da fraca adesão dos profissionais de saúde à notificação das suas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suspeitas de reações adversas a medicamentos, os sistemas de farmacovigilância têm </w:t>
      </w:r>
      <w:r>
        <w:rPr>
          <w:color w:val="#000000"/>
          <w:sz w:val="18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desenvolvido várias estratégias, devendo os sistemas de informação ser encarados como uma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oportunidade nesta área, uma vez que constituem uma presença central no quotidiano das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instituições de saúde.</w:t>
      </w:r>
    </w:p>
    <w:p>
      <w:pPr>
        <w:ind w:right="72" w:left="720" w:firstLine="0"/>
        <w:spacing w:before="180" w:after="0" w:line="322" w:lineRule="exact"/>
        <w:jc w:val="both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 Unidade Local de Saúde de Matosinhos (ULSM) já iniciou uma prova de conceito para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recolha de RAM e que dá confiança para avançar para um projeto em larga escala.</w:t>
      </w:r>
    </w:p>
    <w:p>
      <w:pPr>
        <w:ind w:right="72" w:left="720" w:firstLine="0"/>
        <w:spacing w:before="216" w:after="0" w:line="370" w:lineRule="exact"/>
        <w:jc w:val="both"/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Com este procedimento, além de evoluir o sistema atual de farmacovigilância através da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melhoria das atuais funcionalidades e interoperabilidade, a ULSM ambiciona, entre outros, 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análise e implementação do registo de novos dados e interfaces funcionais, dotar a aplicação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de uma lista de fármacos atualizada e com uma solução capaz de fazer pesquisas em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bibliografia científica relevante sobre a lista de fármacos suspeitos, a implementação de</w:t>
      </w:r>
    </w:p>
    <w:p>
      <w:pPr>
        <w:ind w:right="72" w:left="0" w:firstLine="0"/>
        <w:spacing w:before="144" w:after="1152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14 de 32</w:t>
      </w:r>
    </w:p>
    <w:p>
      <w:pPr>
        <w:ind w:right="0" w:left="288" w:firstLine="0"/>
        <w:spacing w:before="36" w:after="0" w:line="27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05352" from="27.15pt,0.25pt" to="438.1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10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2" w:top="532" w:right="1399" w:left="1459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8"/>
          <w:lang w:val="pt-PT"/>
          <w:spacing w:val="-30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121621" from="-5.85pt,0.45pt" to="-5.85pt,28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-30"/>
          <w:w w:val="70"/>
          <w:strike w:val="false"/>
          <w:vertAlign w:val="baseline"/>
          <w:rFonts w:ascii="Verdana" w:hAnsi="Verdana"/>
        </w:rPr>
        <w:t xml:space="preserve">SPMSEp,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720" w:firstLine="0"/>
        <w:spacing w:before="504" w:after="0" w:line="369" w:lineRule="exact"/>
        <w:jc w:val="both"/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componentes de Inteligência Artificial para apoio à decisão no domínio da prescrição de Beta</w:t>
        <w:softHyphen/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Lactâmicos e outras classes farmacológicas, a introdução de algoritmos suportados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cientificamente para detetar potenciais reações alérgicas a partir de reações notificadas e permitir a exploração de dados para fins de gestão e de investigação através da exportação de dados usando terminologias internacionais sempre que estas existam.</w:t>
      </w:r>
    </w:p>
    <w:p>
      <w:pPr>
        <w:ind w:right="72" w:left="720" w:firstLine="0"/>
        <w:spacing w:before="180" w:after="0" w:line="376" w:lineRule="exact"/>
        <w:jc w:val="both"/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Assim, a evolução do sistema de informação atual de farmacovigilância para o novo sistema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de informação preconizado neste procedimento, representa uma oportunidade para a ULSM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otimizar os processos internos relacionados com o medicamento e apoio à decisão clínica,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permitindo maximizar as potencialidades da notificação de suspeitas de Reações Adversas a Medicamentos enquanto método eficiente de geração de sinais de segurança e consequente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avaliação da segurança dos medicamentos.</w:t>
      </w:r>
    </w:p>
    <w:p>
      <w:pPr>
        <w:ind w:right="0" w:left="288" w:firstLine="0"/>
        <w:spacing w:before="504" w:after="0" w:line="373" w:lineRule="exact"/>
        <w:jc w:val="center"/>
        <w:rPr>
          <w:b w:val="true"/>
          <w:color w:val="#000000"/>
          <w:sz w:val="18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Artigo 2.2
</w:t>
        <w:br/>
      </w: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Objeto</w:t>
      </w:r>
    </w:p>
    <w:p>
      <w:pPr>
        <w:ind w:right="72" w:left="1080" w:firstLine="-360"/>
        <w:spacing w:before="288" w:after="0" w:line="371" w:lineRule="exact"/>
        <w:jc w:val="both"/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1) O presente procedimento tem por objetivo dotar a Unidade Local de Saúde de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Matosinhos, adiante designada por ULSM, de um </w:t>
      </w:r>
      <w:r>
        <w:rPr>
          <w:b w:val="true"/>
          <w:i w:val="true"/>
          <w:color w:val="#000000"/>
          <w:sz w:val="19"/>
          <w:lang w:val="pt-PT"/>
          <w:spacing w:val="-7"/>
          <w:w w:val="100"/>
          <w:strike w:val="false"/>
          <w:vertAlign w:val="baseline"/>
          <w:rFonts w:ascii="Arial" w:hAnsi="Arial"/>
        </w:rPr>
        <w:t xml:space="preserve">Sistema de Informação para Registo e </w:t>
      </w:r>
      <w:r>
        <w:rPr>
          <w:b w:val="true"/>
          <w:i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controlo de Reações Adversas a Medicamentos e dispositivos médicos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(SI.RAM), através do fornecimento de serviços específicos que visam a evolução do aplicacional pré-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existente de farmacovigilância em conformidade com os seguintes objetivos:</w:t>
      </w:r>
    </w:p>
    <w:p>
      <w:pPr>
        <w:ind w:right="72" w:left="1872" w:firstLine="-360"/>
        <w:spacing w:before="180" w:after="0" w:line="348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Introdução de algoritmos suportados cientificamente para detetar potenciais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reações alérgicas e respetiva articulação com a especialidade de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Imunoalergologia;</w:t>
      </w:r>
    </w:p>
    <w:p>
      <w:pPr>
        <w:ind w:right="72" w:left="1872" w:firstLine="-360"/>
        <w:spacing w:before="216" w:after="0" w:line="376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Implementação de componentes de Inteligência Artificial no âmbito do apoio à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imputação de causalidade das reações adversas e à decisão do domínio da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avaliação de reações alérgicas e/ou alergias reportadas a Beta-Lactâmicos e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outras classes farmacológicas (em sede de candidatura devem ser apresentados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os modelos que suportam cada uma das componentes de Inteligência Artificial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bem como a evidência científica que os suporta);</w:t>
      </w:r>
    </w:p>
    <w:p>
      <w:pPr>
        <w:ind w:right="72" w:left="1872" w:firstLine="-360"/>
        <w:spacing w:before="180" w:after="0" w:line="323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Evolução da tabela de fármacos de modo a garantir a atualização periódica da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lista de fármacos possíveis de prescrever em contexto hospitalar e ter solução</w:t>
      </w:r>
    </w:p>
    <w:p>
      <w:pPr>
        <w:ind w:right="72" w:left="0" w:firstLine="0"/>
        <w:spacing w:before="252" w:after="1260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15 </w:t>
      </w:r>
      <w:r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  <w:t xml:space="preserve">de 32</w:t>
      </w:r>
    </w:p>
    <w:p>
      <w:pPr>
        <w:ind w:right="0" w:left="216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65857" from="26.9pt,0.25pt" to="437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n2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sectPr>
      <w:pgSz w:w="11918" w:h="16854" w:orient="portrait"/>
      <w:type w:val="nextPage"/>
      <w:textDirection w:val="lrTb"/>
      <w:pgMar w:bottom="492" w:top="532" w:right="1395" w:left="146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pt-PT"/>
        <w:spacing w:val="-6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pt-PT"/>
        <w:spacing w:val="-9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2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-6"/>
        <w:w w:val="100"/>
        <w:strike w:val="false"/>
        <w:vertAlign w:val="baseline"/>
        <w:rFonts w:ascii="Verdana" w:hAnsi="Verdana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pt-PT"/>
        <w:spacing w:val="-4"/>
        <w:w w:val="100"/>
        <w:strike w:val="false"/>
        <w:vertAlign w:val="baseline"/>
        <w:rFonts w:ascii="Verdana" w:hAnsi="Verdana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pt-PT"/>
        <w:spacing w:val="-8"/>
        <w:w w:val="100"/>
        <w:strike w:val="false"/>
        <w:vertAlign w:val="baseline"/>
        <w:rFonts w:ascii="Verdana" w:hAnsi="Verdana"/>
      </w:rPr>
    </w:lvl>
  </w:abstractNum>
  <w:abstractNum w:abstractNumId="6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7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