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36" w:after="0" w:line="393" w:lineRule="exact"/>
        <w:jc w:val="left"/>
        <w:rPr>
          <w:b w:val="true"/>
          <w:color w:val="#000000"/>
          <w:sz w:val="48"/>
          <w:lang w:val="pt-PT"/>
          <w:spacing w:val="14"/>
          <w:w w:val="70"/>
          <w:strike w:val="false"/>
          <w:vertAlign w:val="baseline"/>
          <w:rFonts w:ascii="Verdana" w:hAnsi="Verdana"/>
        </w:rPr>
      </w:pPr>
      <w:r>
        <w:pict>
          <v:line strokeweight="0.7pt" strokecolor="#111824" from="-7.55pt,1.3pt" to="-7.55pt,29.2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8"/>
          <w:lang w:val="pt-PT"/>
          <w:spacing w:val="14"/>
          <w:w w:val="70"/>
          <w:strike w:val="false"/>
          <w:vertAlign w:val="baseline"/>
          <w:rFonts w:ascii="Verdana" w:hAnsi="Verdana"/>
        </w:rPr>
        <w:t xml:space="preserve">SPMS„.</w:t>
      </w:r>
    </w:p>
    <w:p>
      <w:pPr>
        <w:ind w:right="0" w:left="0" w:firstLine="0"/>
        <w:spacing w:before="0" w:after="0" w:line="278" w:lineRule="auto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72" w:left="1728" w:firstLine="0"/>
        <w:spacing w:before="756" w:after="0" w:line="424" w:lineRule="auto"/>
        <w:jc w:val="both"/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capaz de fazer pesquisas em bibliografia científica relevante sobre uma lista de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fármacos suspeitos;</w:t>
      </w:r>
    </w:p>
    <w:p>
      <w:pPr>
        <w:ind w:right="72" w:left="1872" w:firstLine="-360"/>
        <w:spacing w:before="180" w:after="0" w:line="420" w:lineRule="auto"/>
        <w:jc w:val="both"/>
        <w:tabs>
          <w:tab w:val="clear" w:pos="360"/>
          <w:tab w:val="decimal" w:pos="1872"/>
        </w:tabs>
        <w:numPr>
          <w:ilvl w:val="0"/>
          <w:numId w:val="2"/>
        </w:numPr>
        <w:rPr>
          <w:color w:val="#000000"/>
          <w:sz w:val="19"/>
          <w:lang w:val="pt-PT"/>
          <w:spacing w:val="-1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3"/>
          <w:w w:val="100"/>
          <w:strike w:val="false"/>
          <w:vertAlign w:val="baseline"/>
          <w:rFonts w:ascii="Verdana" w:hAnsi="Verdana"/>
        </w:rPr>
        <w:t xml:space="preserve">Criação, manutenção e gestão de duas tabelas de verdade na ULSM, a tabela de </w:t>
      </w:r>
      <w:r>
        <w:rPr>
          <w:color w:val="#000000"/>
          <w:sz w:val="19"/>
          <w:lang w:val="pt-PT"/>
          <w:spacing w:val="-15"/>
          <w:w w:val="100"/>
          <w:strike w:val="false"/>
          <w:vertAlign w:val="baseline"/>
          <w:rFonts w:ascii="Verdana" w:hAnsi="Verdana"/>
        </w:rPr>
        <w:t xml:space="preserve">Reações Adversas a Medicamentos (RAM) e a tabela de Alergias (Alergias) com as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situações alérgicas que forem validadas/confirmadas pela especialidade de </w:t>
      </w: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Imunoalergologia;</w:t>
      </w:r>
    </w:p>
    <w:p>
      <w:pPr>
        <w:ind w:right="72" w:left="1872" w:firstLine="-360"/>
        <w:spacing w:before="216" w:after="0" w:line="420" w:lineRule="auto"/>
        <w:jc w:val="both"/>
        <w:tabs>
          <w:tab w:val="clear" w:pos="360"/>
          <w:tab w:val="decimal" w:pos="1872"/>
        </w:tabs>
        <w:numPr>
          <w:ilvl w:val="0"/>
          <w:numId w:val="2"/>
        </w:numP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Integração da tabela de Alergias com os sistemas locais pré-existentes da ULSM -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as integrações a desenvolver no âmbito deste projeto devem recorrer sempre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que possível a standards, preferencialmente, HL7 ou Web Services;</w:t>
      </w:r>
    </w:p>
    <w:p>
      <w:pPr>
        <w:ind w:right="72" w:left="1872" w:firstLine="-360"/>
        <w:spacing w:before="180" w:after="0" w:line="422" w:lineRule="auto"/>
        <w:jc w:val="both"/>
        <w:tabs>
          <w:tab w:val="clear" w:pos="360"/>
          <w:tab w:val="decimal" w:pos="1872"/>
        </w:tabs>
        <w:numPr>
          <w:ilvl w:val="0"/>
          <w:numId w:val="2"/>
        </w:numPr>
        <w:rPr>
          <w:color w:val="#000000"/>
          <w:sz w:val="19"/>
          <w:lang w:val="pt-PT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2"/>
          <w:w w:val="100"/>
          <w:strike w:val="false"/>
          <w:vertAlign w:val="baseline"/>
          <w:rFonts w:ascii="Verdana" w:hAnsi="Verdana"/>
        </w:rPr>
        <w:t xml:space="preserve">Permitir a exploração de dados para fins de gestão e de investigação através da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exportação de dados usando terminologias internacionais sempre que estas </w:t>
      </w:r>
      <w: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existam;</w:t>
      </w:r>
    </w:p>
    <w:p>
      <w:pPr>
        <w:ind w:right="0" w:left="1872" w:firstLine="-360"/>
        <w:spacing w:before="216" w:after="0" w:line="240" w:lineRule="auto"/>
        <w:jc w:val="both"/>
        <w:tabs>
          <w:tab w:val="clear" w:pos="360"/>
          <w:tab w:val="decimal" w:pos="1872"/>
        </w:tabs>
        <w:numPr>
          <w:ilvl w:val="0"/>
          <w:numId w:val="2"/>
        </w:numP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Construção de dashboards à medida para apoio à gestão e decisão clínica;</w:t>
      </w:r>
    </w:p>
    <w:p>
      <w:pPr>
        <w:ind w:right="72" w:left="1872" w:firstLine="-360"/>
        <w:spacing w:before="180" w:after="0" w:line="420" w:lineRule="auto"/>
        <w:jc w:val="both"/>
        <w:tabs>
          <w:tab w:val="clear" w:pos="360"/>
          <w:tab w:val="decimal" w:pos="1872"/>
        </w:tabs>
        <w:numPr>
          <w:ilvl w:val="0"/>
          <w:numId w:val="2"/>
        </w:numP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O adjudicatário deve estar habilitado em termos de profissionais diferenciados </w:t>
      </w:r>
      <w: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  <w:t xml:space="preserve">para, em fase de execução do projeto, efetuar o detalhe da especificação de todas </w:t>
      </w:r>
      <w: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as funcionalidades identificadas neste documento, bem como de outras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funcionalidades que venham a ser consideradas necessárias pela equipa de </w:t>
      </w:r>
      <w:r>
        <w:rPr>
          <w:color w:val="#000000"/>
          <w:sz w:val="19"/>
          <w:lang w:val="pt-PT"/>
          <w:spacing w:val="-14"/>
          <w:w w:val="100"/>
          <w:strike w:val="false"/>
          <w:vertAlign w:val="baseline"/>
          <w:rFonts w:ascii="Verdana" w:hAnsi="Verdana"/>
        </w:rPr>
        <w:t xml:space="preserve">projeto da ULSM e cuja especificação/implementação se enquadre no âmbito dos </w:t>
      </w:r>
      <w: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  <w:t xml:space="preserve">objetivos das alíneas anteriores (a documentação desta especificação é um dos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entregáveis deste procedimento). Esta especificação terá sempre como foco principal a otimização dos processos internos relacionados com o medicamento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e apoio à decisão clínica.</w:t>
      </w:r>
    </w:p>
    <w:p>
      <w:pPr>
        <w:ind w:right="72" w:left="1008" w:firstLine="-288"/>
        <w:spacing w:before="252" w:after="0" w:line="420" w:lineRule="auto"/>
        <w:jc w:val="both"/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2) A ULSM integra a unidade Hospitalar do Hospital Pedro Hispano e cerca de 10 edifícios </w:t>
      </w:r>
      <w: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dispersos pelo Concelho de Matosinhos onde operam as unidades funcionais dos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Cuidados de Saúde Primários.</w:t>
      </w:r>
    </w:p>
    <w:p>
      <w:pPr>
        <w:ind w:right="72" w:left="0" w:firstLine="0"/>
        <w:spacing w:before="2268" w:after="108" w:line="211" w:lineRule="auto"/>
        <w:jc w:val="right"/>
        <w:rPr>
          <w:color w:val="#000000"/>
          <w:sz w:val="14"/>
          <w:lang w:val="pt-PT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6"/>
          <w:w w:val="100"/>
          <w:strike w:val="false"/>
          <w:vertAlign w:val="baseline"/>
          <w:rFonts w:ascii="Tahoma" w:hAnsi="Tahoma"/>
        </w:rPr>
        <w:t xml:space="preserve">16 de 32</w:t>
      </w:r>
    </w:p>
    <w:p>
      <w:pPr>
        <w:ind w:right="0" w:left="216" w:firstLine="0"/>
        <w:spacing w:before="36" w:after="0" w:line="280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95B5A" from="26.65pt,0.25pt" to="437.1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ng 61 1050-189 Lisboa Tel.: 211 545 600 1 Fax: 211 545 649
</w:t>
        <w:br/>
      </w:r>
      <w:r>
        <w:rPr>
          <w:color w:val="#000000"/>
          <w:sz w:val="12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Capital Estatutário: 26.260.689,00 Euros N.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90" w:top="514" w:right="1370" w:left="1488" w:header="720" w:footer="720"/>
          <w:titlePg w:val="false"/>
        </w:sectPr>
      </w:pPr>
    </w:p>
    <w:p>
      <w:pPr>
        <w:ind w:right="0" w:left="0" w:firstLine="0"/>
        <w:spacing w:before="0" w:after="0" w:line="397" w:lineRule="exact"/>
        <w:jc w:val="left"/>
        <w:rPr>
          <w:b w:val="true"/>
          <w:color w:val="#000000"/>
          <w:sz w:val="49"/>
          <w:lang w:val="pt-PT"/>
          <w:spacing w:val="8"/>
          <w:w w:val="70"/>
          <w:strike w:val="false"/>
          <w:vertAlign w:val="baseline"/>
          <w:rFonts w:ascii="Verdana" w:hAnsi="Verdana"/>
        </w:rPr>
      </w:pPr>
      <w:r>
        <w:pict>
          <v:line strokeweight="0.7pt" strokecolor="#0D1721" from="-5.7pt,0.8pt" to="-5.7pt,28.9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9"/>
          <w:lang w:val="pt-PT"/>
          <w:spacing w:val="8"/>
          <w:w w:val="70"/>
          <w:strike w:val="false"/>
          <w:vertAlign w:val="baseline"/>
          <w:rFonts w:ascii="Verdana" w:hAnsi="Verdana"/>
        </w:rPr>
        <w:t xml:space="preserve">SPMS„,</w:t>
      </w:r>
    </w:p>
    <w:p>
      <w:pPr>
        <w:ind w:right="0" w:left="0" w:firstLine="0"/>
        <w:spacing w:before="0" w:after="0" w:line="195" w:lineRule="exact"/>
        <w:jc w:val="left"/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-3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4248" w:firstLine="0"/>
        <w:spacing w:before="504" w:after="0" w:line="222" w:lineRule="exact"/>
        <w:jc w:val="left"/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Artigo 3.</w:t>
      </w:r>
      <w:r>
        <w:rPr>
          <w:b w:val="true"/>
          <w:color w:val="#000000"/>
          <w:sz w:val="18"/>
          <w:lang w:val="pt-PT"/>
          <w:spacing w:val="0"/>
          <w:w w:val="100"/>
          <w:strike w:val="false"/>
          <w:vertAlign w:val="superscript"/>
          <w:rFonts w:ascii="Verdana" w:hAnsi="Verdana"/>
        </w:rPr>
        <w:t xml:space="preserve">9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</w:r>
    </w:p>
    <w:p>
      <w:pPr>
        <w:ind w:right="0" w:left="3816" w:firstLine="0"/>
        <w:spacing w:before="180" w:after="0" w:line="229" w:lineRule="exact"/>
        <w:jc w:val="left"/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Requisitos técnicos</w:t>
      </w:r>
    </w:p>
    <w:p>
      <w:pPr>
        <w:ind w:right="0" w:left="720" w:firstLine="0"/>
        <w:spacing w:before="288" w:after="0" w:line="236" w:lineRule="exact"/>
        <w:jc w:val="left"/>
        <w:rPr>
          <w:b w:val="true"/>
          <w:color w:val="#000000"/>
          <w:sz w:val="18"/>
          <w:lang w:val="pt-PT"/>
          <w:spacing w:val="1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10"/>
          <w:w w:val="95"/>
          <w:strike w:val="false"/>
          <w:vertAlign w:val="baseline"/>
          <w:rFonts w:ascii="Tahoma" w:hAnsi="Tahoma"/>
        </w:rPr>
        <w:t xml:space="preserve">1) Funcionalidades</w:t>
      </w:r>
    </w:p>
    <w:p>
      <w:pPr>
        <w:ind w:right="72" w:left="1872" w:firstLine="-360"/>
        <w:spacing w:before="180" w:after="0" w:line="363" w:lineRule="exact"/>
        <w:jc w:val="both"/>
        <w:tabs>
          <w:tab w:val="clear" w:pos="360"/>
          <w:tab w:val="decimal" w:pos="1872"/>
        </w:tabs>
        <w:numPr>
          <w:ilvl w:val="0"/>
          <w:numId w:val="3"/>
        </w:numP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As caraterísticas e funcionalidades da aplicação informática a desenvolver no âmbito deste procedimento, </w:t>
      </w:r>
      <w:r>
        <w:rPr>
          <w:i w:val="true"/>
          <w:color w:val="#000000"/>
          <w:sz w:val="20"/>
          <w:lang w:val="pt-PT"/>
          <w:spacing w:val="-7"/>
          <w:w w:val="100"/>
          <w:strike w:val="false"/>
          <w:vertAlign w:val="baseline"/>
          <w:rFonts w:ascii="Arial" w:hAnsi="Arial"/>
        </w:rPr>
        <w:t xml:space="preserve">"Sistema de Informação para Registo e controlo de </w:t>
      </w:r>
      <w:r>
        <w:rPr>
          <w:i w:val="true"/>
          <w:color w:val="#000000"/>
          <w:sz w:val="20"/>
          <w:lang w:val="pt-PT"/>
          <w:spacing w:val="-2"/>
          <w:w w:val="100"/>
          <w:strike w:val="false"/>
          <w:vertAlign w:val="baseline"/>
          <w:rFonts w:ascii="Arial" w:hAnsi="Arial"/>
        </w:rPr>
        <w:t xml:space="preserve">Reações Adversas a Medicamentos e dispositivos médicos - SI.RAM", </w:t>
      </w:r>
      <w: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estão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identificadas no presente Anexo.</w:t>
      </w:r>
    </w:p>
    <w:p>
      <w:pPr>
        <w:ind w:right="72" w:left="1872" w:firstLine="-360"/>
        <w:spacing w:before="216" w:after="0" w:line="321" w:lineRule="exact"/>
        <w:jc w:val="left"/>
        <w:tabs>
          <w:tab w:val="clear" w:pos="360"/>
          <w:tab w:val="decimal" w:pos="1872"/>
        </w:tabs>
        <w:numPr>
          <w:ilvl w:val="0"/>
          <w:numId w:val="3"/>
        </w:numP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O adjudicatário deverá incluir na sua proposta o cronograma de execução do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projeto e a descrição da metodologia de controlo e gestão de projeto;</w:t>
      </w:r>
    </w:p>
    <w:p>
      <w:pPr>
        <w:ind w:right="72" w:left="1872" w:firstLine="-360"/>
        <w:spacing w:before="180" w:after="0" w:line="334" w:lineRule="exact"/>
        <w:jc w:val="left"/>
        <w:tabs>
          <w:tab w:val="clear" w:pos="360"/>
          <w:tab w:val="decimal" w:pos="1872"/>
        </w:tabs>
        <w:numPr>
          <w:ilvl w:val="0"/>
          <w:numId w:val="3"/>
        </w:numPr>
        <w:rPr>
          <w:color w:val="#000000"/>
          <w:sz w:val="19"/>
          <w:lang w:val="pt-PT"/>
          <w:spacing w:val="-1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2"/>
          <w:w w:val="100"/>
          <w:strike w:val="false"/>
          <w:vertAlign w:val="baseline"/>
          <w:rFonts w:ascii="Verdana" w:hAnsi="Verdana"/>
        </w:rPr>
        <w:t xml:space="preserve">É privilegiada a utilização de ferramentas "open source" no desenvolvimento do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aplicativo.</w:t>
      </w:r>
    </w:p>
    <w:p>
      <w:pPr>
        <w:ind w:right="0" w:left="720" w:firstLine="0"/>
        <w:spacing w:before="252" w:after="0" w:line="192" w:lineRule="exact"/>
        <w:jc w:val="left"/>
        <w:rPr>
          <w:b w:val="true"/>
          <w:color w:val="#000000"/>
          <w:sz w:val="18"/>
          <w:lang w:val="pt-PT"/>
          <w:spacing w:val="8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8"/>
          <w:w w:val="95"/>
          <w:strike w:val="false"/>
          <w:vertAlign w:val="baseline"/>
          <w:rFonts w:ascii="Tahoma" w:hAnsi="Tahoma"/>
        </w:rPr>
        <w:t xml:space="preserve">2. Infraestruturas</w:t>
      </w:r>
    </w:p>
    <w:p>
      <w:pPr>
        <w:ind w:right="72" w:left="1872" w:firstLine="-360"/>
        <w:spacing w:before="216" w:after="0" w:line="322" w:lineRule="exact"/>
        <w:jc w:val="left"/>
        <w:tabs>
          <w:tab w:val="clear" w:pos="360"/>
          <w:tab w:val="decimal" w:pos="1872"/>
        </w:tabs>
        <w:numPr>
          <w:ilvl w:val="0"/>
          <w:numId w:val="4"/>
        </w:numP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A proposta deve identificar a tecnologia que vai ser utilizada por todas as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componentes do aplicativo;</w:t>
      </w:r>
    </w:p>
    <w:p>
      <w:pPr>
        <w:ind w:right="72" w:left="1872" w:firstLine="-360"/>
        <w:spacing w:before="216" w:after="0" w:line="352" w:lineRule="exact"/>
        <w:jc w:val="both"/>
        <w:tabs>
          <w:tab w:val="clear" w:pos="360"/>
          <w:tab w:val="decimal" w:pos="1872"/>
        </w:tabs>
        <w:numPr>
          <w:ilvl w:val="0"/>
          <w:numId w:val="4"/>
        </w:numP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O aplicativo deve estar em conformidade com as regras de usabilidade e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acessibilidade definidas na legislação e deve incluir um módulo de </w:t>
      </w:r>
      <w:r>
        <w:rPr>
          <w:i w:val="true"/>
          <w:color w:val="#000000"/>
          <w:sz w:val="20"/>
          <w:lang w:val="pt-PT"/>
          <w:spacing w:val="-6"/>
          <w:w w:val="100"/>
          <w:strike w:val="false"/>
          <w:vertAlign w:val="baseline"/>
          <w:rFonts w:ascii="Arial" w:hAnsi="Arial"/>
        </w:rPr>
        <w:t xml:space="preserve">back-office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para gestão e parametrização de todo o sistema;</w:t>
      </w:r>
    </w:p>
    <w:p>
      <w:pPr>
        <w:ind w:right="72" w:left="1872" w:firstLine="-360"/>
        <w:spacing w:before="180" w:after="0" w:line="324" w:lineRule="exact"/>
        <w:jc w:val="left"/>
        <w:tabs>
          <w:tab w:val="clear" w:pos="360"/>
          <w:tab w:val="decimal" w:pos="1872"/>
        </w:tabs>
        <w:numPr>
          <w:ilvl w:val="0"/>
          <w:numId w:val="4"/>
        </w:numP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O aplicativo deve funcionar a partir de um browser e ser compatível com as 2 </w:t>
      </w: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últimas versões dos seguintes browsers: </w:t>
      </w:r>
      <w:r>
        <w:rPr>
          <w:i w:val="true"/>
          <w:color w:val="#000000"/>
          <w:sz w:val="20"/>
          <w:lang w:val="pt-PT"/>
          <w:spacing w:val="-5"/>
          <w:w w:val="100"/>
          <w:strike w:val="false"/>
          <w:vertAlign w:val="baseline"/>
          <w:rFonts w:ascii="Arial" w:hAnsi="Arial"/>
        </w:rPr>
        <w:t xml:space="preserve">Google Chrome </w:t>
      </w: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e </w:t>
      </w:r>
      <w:r>
        <w:rPr>
          <w:i w:val="true"/>
          <w:color w:val="#000000"/>
          <w:sz w:val="20"/>
          <w:lang w:val="pt-PT"/>
          <w:spacing w:val="-5"/>
          <w:w w:val="100"/>
          <w:strike w:val="false"/>
          <w:vertAlign w:val="baseline"/>
          <w:rFonts w:ascii="Arial" w:hAnsi="Arial"/>
        </w:rPr>
        <w:t xml:space="preserve">Microsoft Edge;</w:t>
      </w:r>
    </w:p>
    <w:p>
      <w:pPr>
        <w:ind w:right="72" w:left="1872" w:firstLine="-360"/>
        <w:spacing w:before="216" w:after="0" w:line="347" w:lineRule="exact"/>
        <w:jc w:val="both"/>
        <w:tabs>
          <w:tab w:val="clear" w:pos="360"/>
          <w:tab w:val="decimal" w:pos="1872"/>
        </w:tabs>
        <w:numPr>
          <w:ilvl w:val="0"/>
          <w:numId w:val="4"/>
        </w:numP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A proposta deve indicar os requisitos de hardware previstos para o posto de </w:t>
      </w:r>
      <w:r>
        <w:rPr>
          <w:color w:val="#000000"/>
          <w:sz w:val="19"/>
          <w:lang w:val="pt-PT"/>
          <w:spacing w:val="-13"/>
          <w:w w:val="100"/>
          <w:strike w:val="false"/>
          <w:vertAlign w:val="baseline"/>
          <w:rFonts w:ascii="Verdana" w:hAnsi="Verdana"/>
        </w:rPr>
        <w:t xml:space="preserve">trabalho, nomeadamente processador, RAM, espaço em disco, interface de rede,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resolução gráfica e tamanho do ecrã do monitor;</w:t>
      </w:r>
    </w:p>
    <w:p>
      <w:pPr>
        <w:ind w:right="72" w:left="1872" w:firstLine="-360"/>
        <w:spacing w:before="180" w:after="0" w:line="347" w:lineRule="exact"/>
        <w:jc w:val="both"/>
        <w:tabs>
          <w:tab w:val="clear" w:pos="360"/>
          <w:tab w:val="decimal" w:pos="1872"/>
        </w:tabs>
        <w:numPr>
          <w:ilvl w:val="0"/>
          <w:numId w:val="4"/>
        </w:numP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O aplicativo deve ser compatível com os sistemas operativos Microsoft Windows </w:t>
      </w: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7 ou superiores nas versões 32 e 64-bit e incluir interface aplicacional para correr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em dispositivos móveis (tablets e/ou smartphones);</w:t>
      </w:r>
    </w:p>
    <w:p>
      <w:pPr>
        <w:ind w:right="72" w:left="1872" w:firstLine="-360"/>
        <w:spacing w:before="180" w:after="0" w:line="362" w:lineRule="exact"/>
        <w:jc w:val="both"/>
        <w:tabs>
          <w:tab w:val="clear" w:pos="360"/>
          <w:tab w:val="decimal" w:pos="1872"/>
        </w:tabs>
        <w:numPr>
          <w:ilvl w:val="0"/>
          <w:numId w:val="4"/>
        </w:numP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A proposta deve indicar os requisitos previstos a nível de hardware do(s) </w:t>
      </w:r>
      <w:r>
        <w:rPr>
          <w:color w:val="#000000"/>
          <w:sz w:val="19"/>
          <w:lang w:val="pt-PT"/>
          <w:spacing w:val="-14"/>
          <w:w w:val="100"/>
          <w:strike w:val="false"/>
          <w:vertAlign w:val="baseline"/>
          <w:rFonts w:ascii="Verdana" w:hAnsi="Verdana"/>
        </w:rPr>
        <w:t xml:space="preserve">servidor(es), nomeadamente processador, RAM, espaço em disco para 5 anos de </w:t>
      </w:r>
      <w: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  <w:t xml:space="preserve">atividade, interfaces de rede e versão do sistema operativo (a solução deve ser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instalada na infraestrutura de virtualização da ULSM - instalação on-prem);</w:t>
      </w:r>
    </w:p>
    <w:p>
      <w:pPr>
        <w:ind w:right="72" w:left="0" w:firstLine="0"/>
        <w:spacing w:before="144" w:after="1584" w:line="175" w:lineRule="exact"/>
        <w:jc w:val="right"/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17 de 32</w:t>
      </w:r>
    </w:p>
    <w:p>
      <w:pPr>
        <w:ind w:right="0" w:left="288" w:firstLine="0"/>
        <w:spacing w:before="36" w:after="0" w:line="276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45756" from="27.4pt,0.25pt" to="438.25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</w:t>
      </w:r>
      <w:r>
        <w:rPr>
          <w:color w:val="#000000"/>
          <w:sz w:val="12"/>
          <w:lang w:val="pt-PT"/>
          <w:spacing w:val="-5"/>
          <w:w w:val="115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 61 1050-189 Lisboa Tel.: 211 545 600 1 Fax: 211 545 649
</w:t>
        <w:br/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Capital Estatutário: 26.260.689,00 Euros N.</w:t>
      </w:r>
      <w:r>
        <w:rPr>
          <w:color w:val="#000000"/>
          <w:sz w:val="12"/>
          <w:lang w:val="pt-PT"/>
          <w:spacing w:val="-5"/>
          <w:w w:val="115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72" w:top="532" w:right="1405" w:left="1453" w:header="720" w:footer="720"/>
          <w:titlePg w:val="false"/>
        </w:sectPr>
      </w:pPr>
    </w:p>
    <w:p>
      <w:pPr>
        <w:ind w:right="0" w:left="0" w:firstLine="0"/>
        <w:spacing w:before="0" w:after="0" w:line="184" w:lineRule="auto"/>
        <w:jc w:val="left"/>
        <w:rPr>
          <w:b w:val="true"/>
          <w:color w:val="#000000"/>
          <w:sz w:val="49"/>
          <w:lang w:val="pt-PT"/>
          <w:spacing w:val="-4"/>
          <w:w w:val="75"/>
          <w:strike w:val="false"/>
          <w:vertAlign w:val="baseline"/>
          <w:rFonts w:ascii="Arial" w:hAnsi="Arial"/>
        </w:rPr>
      </w:pPr>
      <w:r>
        <w:pict>
          <v:line strokeweight="0.7pt" strokecolor="#323D47" from="-5.95pt,1.45pt" to="-5.95pt,29.2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9"/>
          <w:lang w:val="pt-PT"/>
          <w:spacing w:val="-4"/>
          <w:w w:val="75"/>
          <w:strike w:val="false"/>
          <w:vertAlign w:val="baseline"/>
          <w:rFonts w:ascii="Arial" w:hAnsi="Arial"/>
        </w:rPr>
        <w:t xml:space="preserve">SPMS„E</w:t>
      </w:r>
    </w:p>
    <w:p>
      <w:pPr>
        <w:ind w:right="0" w:left="0" w:firstLine="0"/>
        <w:spacing w:before="0" w:after="0" w:line="240" w:lineRule="auto"/>
        <w:jc w:val="left"/>
        <w:rPr>
          <w:color w:val="#000000"/>
          <w:sz w:val="15"/>
          <w:lang w:val="pt-PT"/>
          <w:spacing w:val="-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pt-PT"/>
          <w:spacing w:val="-8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1872" w:firstLine="-360"/>
        <w:spacing w:before="792" w:after="0" w:line="422" w:lineRule="auto"/>
        <w:jc w:val="both"/>
        <w:tabs>
          <w:tab w:val="clear" w:pos="360"/>
          <w:tab w:val="decimal" w:pos="1872"/>
        </w:tabs>
        <w:numPr>
          <w:ilvl w:val="0"/>
          <w:numId w:val="5"/>
        </w:numP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A proposta deve indicar as versões dos produtos (software de base ou outros) e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respetivo licenciamento (n</w:t>
      </w:r>
      <w:r>
        <w:rPr>
          <w:color w:val="#000000"/>
          <w:sz w:val="19"/>
          <w:lang w:val="pt-PT"/>
          <w:spacing w:val="4"/>
          <w:w w:val="105"/>
          <w:strike w:val="false"/>
          <w:vertAlign w:val="superscript"/>
          <w:rFonts w:ascii="Verdana" w:hAnsi="Verdana"/>
        </w:rPr>
        <w:t xml:space="preserve">2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 de licenças), que venham a ser necessários a nível </w:t>
      </w:r>
      <w:r>
        <w:rPr>
          <w:color w:val="#000000"/>
          <w:sz w:val="19"/>
          <w:lang w:val="pt-PT"/>
          <w:spacing w:val="2"/>
          <w:w w:val="100"/>
          <w:strike w:val="false"/>
          <w:vertAlign w:val="baseline"/>
          <w:rFonts w:ascii="Tahoma" w:hAnsi="Tahoma"/>
        </w:rPr>
        <w:t xml:space="preserve">dos servidores (aplicacional e/ou base de dados), para assegurar ambiente de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produção do aplicacional;</w:t>
      </w:r>
    </w:p>
    <w:p>
      <w:pPr>
        <w:ind w:right="0" w:left="1872" w:firstLine="-360"/>
        <w:spacing w:before="180" w:after="0" w:line="422" w:lineRule="auto"/>
        <w:jc w:val="both"/>
        <w:tabs>
          <w:tab w:val="clear" w:pos="360"/>
          <w:tab w:val="decimal" w:pos="1872"/>
        </w:tabs>
        <w:numPr>
          <w:ilvl w:val="0"/>
          <w:numId w:val="5"/>
        </w:numPr>
        <w:rPr>
          <w:color w:val="#000000"/>
          <w:sz w:val="19"/>
          <w:lang w:val="pt-PT"/>
          <w:spacing w:val="-1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-1"/>
          <w:w w:val="100"/>
          <w:strike w:val="false"/>
          <w:vertAlign w:val="baseline"/>
          <w:rFonts w:ascii="Tahoma" w:hAnsi="Tahoma"/>
        </w:rPr>
        <w:t xml:space="preserve">A proposta deve identificar qualquer outro requisito específico que possa vir a ser </w:t>
      </w:r>
      <w:r>
        <w:rPr>
          <w:color w:val="#000000"/>
          <w:sz w:val="19"/>
          <w:lang w:val="pt-PT"/>
          <w:spacing w:val="3"/>
          <w:w w:val="100"/>
          <w:strike w:val="false"/>
          <w:vertAlign w:val="baseline"/>
          <w:rFonts w:ascii="Tahoma" w:hAnsi="Tahoma"/>
        </w:rPr>
        <w:t xml:space="preserve">necessário para funcionar na rede corporativa, como por exemplo a necessidade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de VLANs ou de comunicações UDP.</w:t>
      </w:r>
    </w:p>
    <w:p>
      <w:pPr>
        <w:ind w:right="0" w:left="720" w:firstLine="0"/>
        <w:spacing w:before="288" w:after="0" w:line="240" w:lineRule="auto"/>
        <w:jc w:val="left"/>
        <w:rPr>
          <w:b w:val="true"/>
          <w:color w:val="#000000"/>
          <w:sz w:val="20"/>
          <w:lang w:val="pt-PT"/>
          <w:spacing w:val="2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0"/>
          <w:lang w:val="pt-PT"/>
          <w:spacing w:val="2"/>
          <w:w w:val="100"/>
          <w:strike w:val="false"/>
          <w:vertAlign w:val="baseline"/>
          <w:rFonts w:ascii="Arial" w:hAnsi="Arial"/>
        </w:rPr>
        <w:t xml:space="preserve">3. Interoperabilidade</w:t>
      </w:r>
    </w:p>
    <w:p>
      <w:pPr>
        <w:ind w:right="0" w:left="1872" w:firstLine="-360"/>
        <w:spacing w:before="180" w:after="0" w:line="422" w:lineRule="auto"/>
        <w:jc w:val="both"/>
        <w:tabs>
          <w:tab w:val="clear" w:pos="360"/>
          <w:tab w:val="decimal" w:pos="1872"/>
        </w:tabs>
        <w:numPr>
          <w:ilvl w:val="0"/>
          <w:numId w:val="6"/>
        </w:numPr>
        <w:rPr>
          <w:color w:val="#000000"/>
          <w:sz w:val="19"/>
          <w:lang w:val="pt-PT"/>
          <w:spacing w:val="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6"/>
          <w:w w:val="100"/>
          <w:strike w:val="false"/>
          <w:vertAlign w:val="baseline"/>
          <w:rFonts w:ascii="Tahoma" w:hAnsi="Tahoma"/>
        </w:rPr>
        <w:t xml:space="preserve">O adjudicatário deve assegurar as integrações decorrentes do ponto 1.e) do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Artigo 2</w:t>
      </w:r>
      <w:r>
        <w:rPr>
          <w:color w:val="#000000"/>
          <w:sz w:val="19"/>
          <w:lang w:val="pt-PT"/>
          <w:spacing w:val="4"/>
          <w:w w:val="105"/>
          <w:strike w:val="false"/>
          <w:vertAlign w:val="superscript"/>
          <w:rFonts w:ascii="Verdana" w:hAnsi="Verdana"/>
        </w:rPr>
        <w:t xml:space="preserve">2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 deste documento e efetuar a especificação funcional das restantes </w:t>
      </w:r>
      <w:r>
        <w:rPr>
          <w:color w:val="#000000"/>
          <w:sz w:val="19"/>
          <w:lang w:val="pt-PT"/>
          <w:spacing w:val="3"/>
          <w:w w:val="100"/>
          <w:strike w:val="false"/>
          <w:vertAlign w:val="baseline"/>
          <w:rFonts w:ascii="Tahoma" w:hAnsi="Tahoma"/>
        </w:rPr>
        <w:t xml:space="preserve">integrações que venham a ser identificadas em fase de execução do projeto. O </w:t>
      </w:r>
      <w:r>
        <w:rPr>
          <w:color w:val="#000000"/>
          <w:sz w:val="19"/>
          <w:lang w:val="pt-PT"/>
          <w:spacing w:val="1"/>
          <w:w w:val="100"/>
          <w:strike w:val="false"/>
          <w:vertAlign w:val="baseline"/>
          <w:rFonts w:ascii="Tahoma" w:hAnsi="Tahoma"/>
        </w:rPr>
        <w:t xml:space="preserve">limite máximo de sistemas locais pré-existentes para efeitos de integração é de 6 </w:t>
      </w:r>
      <w: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(seis);</w:t>
      </w:r>
    </w:p>
    <w:p>
      <w:pPr>
        <w:ind w:right="0" w:left="1872" w:firstLine="-360"/>
        <w:spacing w:before="216" w:after="0" w:line="422" w:lineRule="auto"/>
        <w:jc w:val="both"/>
        <w:tabs>
          <w:tab w:val="clear" w:pos="360"/>
          <w:tab w:val="decimal" w:pos="1872"/>
        </w:tabs>
        <w:numPr>
          <w:ilvl w:val="0"/>
          <w:numId w:val="6"/>
        </w:numP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O adjudicatário compromete-se a articular-se com os Serviços Partilhados do </w:t>
      </w:r>
      <w:r>
        <w:rPr>
          <w:color w:val="#000000"/>
          <w:sz w:val="19"/>
          <w:lang w:val="pt-PT"/>
          <w:spacing w:val="14"/>
          <w:w w:val="100"/>
          <w:strike w:val="false"/>
          <w:vertAlign w:val="baseline"/>
          <w:rFonts w:ascii="Tahoma" w:hAnsi="Tahoma"/>
        </w:rPr>
        <w:t xml:space="preserve">Ministério da Saúde (SPMS) para qualquer questão relacionada com a </w:t>
      </w:r>
      <w:r>
        <w:rPr>
          <w:color w:val="#000000"/>
          <w:sz w:val="19"/>
          <w:lang w:val="pt-PT"/>
          <w:spacing w:val="6"/>
          <w:w w:val="100"/>
          <w:strike w:val="false"/>
          <w:vertAlign w:val="baseline"/>
          <w:rFonts w:ascii="Tahoma" w:hAnsi="Tahoma"/>
        </w:rPr>
        <w:t xml:space="preserve">interoperabilidade entre sistemas de informação e conformidade com o RGPD,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de modo a garantir o total alinhamento setorial;</w:t>
      </w:r>
    </w:p>
    <w:p>
      <w:pPr>
        <w:ind w:right="0" w:left="1872" w:firstLine="-360"/>
        <w:spacing w:before="180" w:after="0" w:line="420" w:lineRule="auto"/>
        <w:jc w:val="left"/>
        <w:tabs>
          <w:tab w:val="clear" w:pos="360"/>
          <w:tab w:val="decimal" w:pos="1872"/>
        </w:tabs>
        <w:numPr>
          <w:ilvl w:val="0"/>
          <w:numId w:val="6"/>
        </w:numPr>
        <w:rPr>
          <w:color w:val="#000000"/>
          <w:sz w:val="19"/>
          <w:lang w:val="pt-PT"/>
          <w:spacing w:val="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7"/>
          <w:w w:val="100"/>
          <w:strike w:val="false"/>
          <w:vertAlign w:val="baseline"/>
          <w:rFonts w:ascii="Tahoma" w:hAnsi="Tahoma"/>
        </w:rPr>
        <w:t xml:space="preserve">O adjudicatário deve declarar que o aplicativo será estruturado de forma a </w:t>
      </w: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viabilizar e simplificar futuras integrações;</w:t>
      </w:r>
    </w:p>
    <w:p>
      <w:pPr>
        <w:ind w:right="0" w:left="1872" w:firstLine="-360"/>
        <w:spacing w:before="180" w:after="0" w:line="422" w:lineRule="auto"/>
        <w:jc w:val="both"/>
        <w:tabs>
          <w:tab w:val="clear" w:pos="360"/>
          <w:tab w:val="decimal" w:pos="1872"/>
        </w:tabs>
        <w:numPr>
          <w:ilvl w:val="0"/>
          <w:numId w:val="6"/>
        </w:numPr>
        <w:rPr>
          <w:color w:val="#000000"/>
          <w:sz w:val="19"/>
          <w:lang w:val="pt-PT"/>
          <w:spacing w:val="16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16"/>
          <w:w w:val="100"/>
          <w:strike w:val="false"/>
          <w:vertAlign w:val="baseline"/>
          <w:rFonts w:ascii="Tahoma" w:hAnsi="Tahoma"/>
        </w:rPr>
        <w:t xml:space="preserve">O adjudicatário deve declarar que o aplicativo será desenvolvido em </w:t>
      </w:r>
      <w:r>
        <w:rPr>
          <w:color w:val="#000000"/>
          <w:sz w:val="19"/>
          <w:lang w:val="pt-PT"/>
          <w:spacing w:val="6"/>
          <w:w w:val="100"/>
          <w:strike w:val="false"/>
          <w:vertAlign w:val="baseline"/>
          <w:rFonts w:ascii="Tahoma" w:hAnsi="Tahoma"/>
        </w:rPr>
        <w:t xml:space="preserve">conformidade com o Regulamento Nacional de Interoperabilidade Digital em </w:t>
      </w:r>
      <w: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vigor.</w:t>
      </w:r>
    </w:p>
    <w:p>
      <w:pPr>
        <w:ind w:right="0" w:left="720" w:firstLine="0"/>
        <w:spacing w:before="288" w:after="0" w:line="240" w:lineRule="auto"/>
        <w:jc w:val="left"/>
        <w:rPr>
          <w:b w:val="true"/>
          <w:color w:val="#000000"/>
          <w:sz w:val="20"/>
          <w:lang w:val="pt-PT"/>
          <w:spacing w:val="0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20"/>
          <w:lang w:val="pt-PT"/>
          <w:spacing w:val="0"/>
          <w:w w:val="100"/>
          <w:strike w:val="false"/>
          <w:vertAlign w:val="baseline"/>
          <w:rFonts w:ascii="Arial" w:hAnsi="Arial"/>
        </w:rPr>
        <w:t xml:space="preserve">4. Proteção de dados</w:t>
      </w:r>
    </w:p>
    <w:p>
      <w:pPr>
        <w:ind w:right="0" w:left="1800" w:firstLine="-360"/>
        <w:spacing w:before="252" w:after="0" w:line="420" w:lineRule="auto"/>
        <w:jc w:val="both"/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9"/>
          <w:lang w:val="pt-PT"/>
          <w:spacing w:val="4"/>
          <w:w w:val="100"/>
          <w:strike w:val="false"/>
          <w:vertAlign w:val="baseline"/>
          <w:rFonts w:ascii="Tahoma" w:hAnsi="Tahoma"/>
        </w:rPr>
        <w:t xml:space="preserve">a) O adjudicatário obriga-se a prestar todo o apoio no cumprimento das disposições </w:t>
      </w:r>
      <w:r>
        <w:rPr>
          <w:color w:val="#000000"/>
          <w:sz w:val="19"/>
          <w:lang w:val="pt-PT"/>
          <w:spacing w:val="1"/>
          <w:w w:val="100"/>
          <w:strike w:val="false"/>
          <w:vertAlign w:val="baseline"/>
          <w:rFonts w:ascii="Tahoma" w:hAnsi="Tahoma"/>
        </w:rPr>
        <w:t xml:space="preserve">que se revelem necessárias no âmbito da Lei de Proteção de Dados Pessoais, bem </w:t>
      </w:r>
      <w:r>
        <w:rPr>
          <w:color w:val="#000000"/>
          <w:sz w:val="19"/>
          <w:lang w:val="pt-PT"/>
          <w:spacing w:val="9"/>
          <w:w w:val="100"/>
          <w:strike w:val="false"/>
          <w:vertAlign w:val="baseline"/>
          <w:rFonts w:ascii="Tahoma" w:hAnsi="Tahoma"/>
        </w:rPr>
        <w:t xml:space="preserve">como a assegurar a conformidade do aplicativo a desenvolver com o novo </w:t>
      </w:r>
      <w:r>
        <w:rPr>
          <w:color w:val="#000000"/>
          <w:sz w:val="19"/>
          <w:lang w:val="pt-PT"/>
          <w:spacing w:val="5"/>
          <w:w w:val="100"/>
          <w:strike w:val="false"/>
          <w:vertAlign w:val="baseline"/>
          <w:rFonts w:ascii="Tahoma" w:hAnsi="Tahoma"/>
        </w:rPr>
        <w:t xml:space="preserve">Regulamento Geral de Proteção de Dados da União Europeia (RGPD) à data em </w:t>
      </w:r>
      <w:r>
        <w:rPr>
          <w:color w:val="#000000"/>
          <w:sz w:val="19"/>
          <w:lang w:val="pt-PT"/>
          <w:spacing w:val="3"/>
          <w:w w:val="100"/>
          <w:strike w:val="false"/>
          <w:vertAlign w:val="baseline"/>
          <w:rFonts w:ascii="Tahoma" w:hAnsi="Tahoma"/>
        </w:rPr>
        <w:t xml:space="preserve">que se iniciar a respetiva aplicação (25 maio de 2018);</w:t>
      </w:r>
    </w:p>
    <w:p>
      <w:pPr>
        <w:ind w:right="36" w:left="0" w:firstLine="0"/>
        <w:spacing w:before="684" w:after="108" w:line="199" w:lineRule="auto"/>
        <w:jc w:val="right"/>
        <w:rPr>
          <w:color w:val="#000000"/>
          <w:sz w:val="15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18 </w:t>
      </w:r>
      <w:r>
        <w:rPr>
          <w:color w:val="#000000"/>
          <w:sz w:val="14"/>
          <w:lang w:val="pt-PT"/>
          <w:spacing w:val="0"/>
          <w:w w:val="105"/>
          <w:strike w:val="false"/>
          <w:vertAlign w:val="baseline"/>
          <w:rFonts w:ascii="Verdana" w:hAnsi="Verdana"/>
        </w:rPr>
        <w:t xml:space="preserve">de 32</w:t>
      </w:r>
    </w:p>
    <w:p>
      <w:pPr>
        <w:ind w:right="0" w:left="288" w:firstLine="0"/>
        <w:spacing w:before="36" w:after="0" w:line="283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55857" from="27.15pt,0.25pt" to="437.95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n9 61 1050-189 Lisboa Tel.: 211 545 600 1 Fax: 211 545 649
</w:t>
        <w:br/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Capital Estatutário: 26.260.689,00 Euros N.g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90" w:top="514" w:right="1399" w:left="1459" w:header="720" w:footer="720"/>
          <w:titlePg w:val="false"/>
        </w:sectPr>
      </w:pPr>
    </w:p>
    <w:p>
      <w:pPr>
        <w:ind w:right="0" w:left="0" w:firstLine="0"/>
        <w:spacing w:before="0" w:after="0" w:line="397" w:lineRule="exact"/>
        <w:jc w:val="left"/>
        <w:rPr>
          <w:b w:val="true"/>
          <w:color w:val="#000000"/>
          <w:sz w:val="48"/>
          <w:lang w:val="pt-PT"/>
          <w:spacing w:val="12"/>
          <w:w w:val="70"/>
          <w:strike w:val="false"/>
          <w:vertAlign w:val="baseline"/>
          <w:rFonts w:ascii="Verdana" w:hAnsi="Verdana"/>
        </w:rPr>
      </w:pPr>
      <w:r>
        <w:pict>
          <v:line strokeweight="0.7pt" strokecolor="#0A1420" from="-6.05pt,0.65pt" to="-6.05pt,28.4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8"/>
          <w:lang w:val="pt-PT"/>
          <w:spacing w:val="12"/>
          <w:w w:val="70"/>
          <w:strike w:val="false"/>
          <w:vertAlign w:val="baseline"/>
          <w:rFonts w:ascii="Verdana" w:hAnsi="Verdana"/>
        </w:rPr>
        <w:t xml:space="preserve">SPMS,„</w:t>
      </w:r>
    </w:p>
    <w:p>
      <w:pPr>
        <w:ind w:right="0" w:left="0" w:firstLine="0"/>
        <w:spacing w:before="0" w:after="0" w:line="193" w:lineRule="exact"/>
        <w:jc w:val="left"/>
        <w:rPr>
          <w:color w:val="#000000"/>
          <w:sz w:val="15"/>
          <w:lang w:val="pt-PT"/>
          <w:spacing w:val="-8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pt-PT"/>
          <w:spacing w:val="-8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1800" w:firstLine="-360"/>
        <w:spacing w:before="504" w:after="0" w:line="347" w:lineRule="exact"/>
        <w:jc w:val="both"/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b) No âmbito da conformidade com o RGPD, destacamos as orientações sobre o </w:t>
      </w:r>
      <w:r>
        <w:rPr>
          <w:color w:val="#000000"/>
          <w:sz w:val="19"/>
          <w:lang w:val="pt-PT"/>
          <w:spacing w:val="-12"/>
          <w:w w:val="100"/>
          <w:strike w:val="false"/>
          <w:vertAlign w:val="baseline"/>
          <w:rFonts w:ascii="Verdana" w:hAnsi="Verdana"/>
        </w:rPr>
        <w:t xml:space="preserve">desenvolvimento de aplicações informáticas de "Privacy by Default" e "Privacy By </w:t>
      </w: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Design".</w:t>
      </w:r>
    </w:p>
    <w:p>
      <w:pPr>
        <w:ind w:right="0" w:left="720" w:firstLine="0"/>
        <w:spacing w:before="252" w:after="0" w:line="202" w:lineRule="exact"/>
        <w:jc w:val="left"/>
        <w:rPr>
          <w:b w:val="true"/>
          <w:color w:val="#000000"/>
          <w:sz w:val="19"/>
          <w:lang w:val="pt-PT"/>
          <w:spacing w:val="4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pt-PT"/>
          <w:spacing w:val="4"/>
          <w:w w:val="100"/>
          <w:strike w:val="false"/>
          <w:vertAlign w:val="baseline"/>
          <w:rFonts w:ascii="Arial" w:hAnsi="Arial"/>
        </w:rPr>
        <w:t xml:space="preserve">5. Confidencialidade</w:t>
      </w:r>
    </w:p>
    <w:p>
      <w:pPr>
        <w:ind w:right="0" w:left="1872" w:firstLine="-360"/>
        <w:spacing w:before="216" w:after="0" w:line="349" w:lineRule="exact"/>
        <w:jc w:val="both"/>
        <w:tabs>
          <w:tab w:val="clear" w:pos="360"/>
          <w:tab w:val="decimal" w:pos="1872"/>
        </w:tabs>
        <w:numPr>
          <w:ilvl w:val="0"/>
          <w:numId w:val="7"/>
        </w:numP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O adjudicatário deverá manter a confidencialidade relativamente a toda a </w:t>
      </w:r>
      <w: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  <w:t xml:space="preserve">informação, verbal, escrita ou outra, e a usá-la exclusivamente para avaliação e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desenvolvimento do projeto;</w:t>
      </w:r>
    </w:p>
    <w:p>
      <w:pPr>
        <w:ind w:right="0" w:left="1872" w:firstLine="-360"/>
        <w:spacing w:before="216" w:after="0" w:line="368" w:lineRule="exact"/>
        <w:jc w:val="both"/>
        <w:tabs>
          <w:tab w:val="clear" w:pos="360"/>
          <w:tab w:val="decimal" w:pos="1872"/>
        </w:tabs>
        <w:numPr>
          <w:ilvl w:val="0"/>
          <w:numId w:val="7"/>
        </w:numP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O adjudicatário não deverá fazer uso da informação confidencial de nenhum </w:t>
      </w: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modo ou em nenhuma altura, exceto para os fins específicos deste procedimento,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não divulgar essa informação a terceiros, exceto a empregados qualificados e </w:t>
      </w: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responsáveis aos quais seja necessário divulgar informação confidencial, para os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ditos fins;</w:t>
      </w:r>
    </w:p>
    <w:p>
      <w:pPr>
        <w:ind w:right="0" w:left="1872" w:firstLine="-360"/>
        <w:spacing w:before="180" w:after="0" w:line="350" w:lineRule="exact"/>
        <w:jc w:val="both"/>
        <w:tabs>
          <w:tab w:val="clear" w:pos="360"/>
          <w:tab w:val="decimal" w:pos="1872"/>
        </w:tabs>
        <w:numPr>
          <w:ilvl w:val="0"/>
          <w:numId w:val="7"/>
        </w:numPr>
        <w:rPr>
          <w:color w:val="#000000"/>
          <w:sz w:val="19"/>
          <w:lang w:val="pt-PT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"/>
          <w:w w:val="100"/>
          <w:strike w:val="false"/>
          <w:vertAlign w:val="baseline"/>
          <w:rFonts w:ascii="Verdana" w:hAnsi="Verdana"/>
        </w:rPr>
        <w:t xml:space="preserve">O adjudicatário deverá obter de todas as pessoas a quem a informação </w:t>
      </w: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confidencial é divulgada um compromisso de guardar sigilo bem como de tomar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todas as providências para que tal compromisso seja cumprido;</w:t>
      </w:r>
    </w:p>
    <w:p>
      <w:pPr>
        <w:ind w:right="0" w:left="1872" w:firstLine="-360"/>
        <w:spacing w:before="216" w:after="0" w:line="368" w:lineRule="exact"/>
        <w:jc w:val="both"/>
        <w:tabs>
          <w:tab w:val="clear" w:pos="360"/>
          <w:tab w:val="decimal" w:pos="1872"/>
        </w:tabs>
        <w:numPr>
          <w:ilvl w:val="0"/>
          <w:numId w:val="7"/>
        </w:numP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Em nenhuma altura obter direta ou indiretamente quaisquer direitos, títulos ou </w:t>
      </w: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interesses, derivados da posse ou uso da informação confidencial, ou reclamar </w:t>
      </w:r>
      <w:r>
        <w:rPr>
          <w:color w:val="#000000"/>
          <w:sz w:val="19"/>
          <w:lang w:val="pt-PT"/>
          <w:spacing w:val="-13"/>
          <w:w w:val="100"/>
          <w:strike w:val="false"/>
          <w:vertAlign w:val="baseline"/>
          <w:rFonts w:ascii="Verdana" w:hAnsi="Verdana"/>
        </w:rPr>
        <w:t xml:space="preserve">direitos legais que sejam derivados da utilização de patente ou de qualquer forma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relacionada com processos e produtos derivados ou baseados na informação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confidencial;</w:t>
      </w:r>
    </w:p>
    <w:p>
      <w:pPr>
        <w:ind w:right="0" w:left="1872" w:firstLine="-360"/>
        <w:spacing w:before="180" w:after="0" w:line="350" w:lineRule="exact"/>
        <w:jc w:val="both"/>
        <w:tabs>
          <w:tab w:val="clear" w:pos="360"/>
          <w:tab w:val="decimal" w:pos="1872"/>
        </w:tabs>
        <w:numPr>
          <w:ilvl w:val="0"/>
          <w:numId w:val="7"/>
        </w:numP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2"/>
          <w:w w:val="100"/>
          <w:strike w:val="false"/>
          <w:vertAlign w:val="baseline"/>
          <w:rFonts w:ascii="Verdana" w:hAnsi="Verdana"/>
        </w:rPr>
        <w:t xml:space="preserve">O adjudicatário não poderá partilhar com terceiros nenhuma informação </w:t>
      </w:r>
      <w: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confidencial obtida sem o consentimento escrito da parte que faculta a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informação.</w:t>
      </w:r>
    </w:p>
    <w:p>
      <w:pPr>
        <w:ind w:right="0" w:left="720" w:firstLine="0"/>
        <w:spacing w:before="288" w:after="0" w:line="227" w:lineRule="exact"/>
        <w:jc w:val="left"/>
        <w:rPr>
          <w:b w:val="true"/>
          <w:color w:val="#000000"/>
          <w:sz w:val="19"/>
          <w:lang w:val="pt-PT"/>
          <w:spacing w:val="6"/>
          <w:w w:val="100"/>
          <w:strike w:val="false"/>
          <w:vertAlign w:val="baseline"/>
          <w:rFonts w:ascii="Arial" w:hAnsi="Arial"/>
        </w:rPr>
      </w:pPr>
      <w:r>
        <w:rPr>
          <w:b w:val="true"/>
          <w:color w:val="#000000"/>
          <w:sz w:val="19"/>
          <w:lang w:val="pt-PT"/>
          <w:spacing w:val="6"/>
          <w:w w:val="100"/>
          <w:strike w:val="false"/>
          <w:vertAlign w:val="baseline"/>
          <w:rFonts w:ascii="Arial" w:hAnsi="Arial"/>
        </w:rPr>
        <w:t xml:space="preserve">6. Segurança</w:t>
      </w:r>
    </w:p>
    <w:p>
      <w:pPr>
        <w:ind w:right="0" w:left="1872" w:firstLine="-360"/>
        <w:spacing w:before="180" w:after="0" w:line="237" w:lineRule="exact"/>
        <w:jc w:val="left"/>
        <w:tabs>
          <w:tab w:val="clear" w:pos="360"/>
          <w:tab w:val="decimal" w:pos="1872"/>
        </w:tabs>
        <w:numPr>
          <w:ilvl w:val="0"/>
          <w:numId w:val="8"/>
        </w:numP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O aplicativo deve implementar um módulo de gestão de perfis e utilizadores;</w:t>
      </w:r>
    </w:p>
    <w:p>
      <w:pPr>
        <w:ind w:right="0" w:left="1872" w:firstLine="-360"/>
        <w:spacing w:before="216" w:after="0" w:line="322" w:lineRule="exact"/>
        <w:jc w:val="left"/>
        <w:tabs>
          <w:tab w:val="clear" w:pos="360"/>
          <w:tab w:val="decimal" w:pos="1872"/>
        </w:tabs>
        <w:numPr>
          <w:ilvl w:val="0"/>
          <w:numId w:val="8"/>
        </w:numP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O aplicativo deve incluir um time-out automático por um determinado período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de inatividade para todos os perfis;</w:t>
      </w:r>
    </w:p>
    <w:p>
      <w:pPr>
        <w:ind w:right="0" w:left="1872" w:firstLine="-360"/>
        <w:spacing w:before="180" w:after="0" w:line="344" w:lineRule="exact"/>
        <w:jc w:val="both"/>
        <w:tabs>
          <w:tab w:val="clear" w:pos="360"/>
          <w:tab w:val="decimal" w:pos="1872"/>
        </w:tabs>
        <w:numPr>
          <w:ilvl w:val="0"/>
          <w:numId w:val="8"/>
        </w:numPr>
        <w:rPr>
          <w:color w:val="#000000"/>
          <w:sz w:val="19"/>
          <w:lang w:val="pt-PT"/>
          <w:spacing w:val="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3"/>
          <w:w w:val="100"/>
          <w:strike w:val="false"/>
          <w:vertAlign w:val="baseline"/>
          <w:rFonts w:ascii="Verdana" w:hAnsi="Verdana"/>
        </w:rPr>
        <w:t xml:space="preserve">O aplicativo deve segmentar o acesso aos diferentes tipos de dados, </w:t>
      </w: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nomeadamente dados administrativos e dados pessoais de saúde, por perfil de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utilizador;</w:t>
      </w:r>
    </w:p>
    <w:p>
      <w:pPr>
        <w:ind w:right="36" w:left="0" w:firstLine="0"/>
        <w:spacing w:before="0" w:after="1404" w:line="168" w:lineRule="exact"/>
        <w:jc w:val="right"/>
        <w:rPr>
          <w:color w:val="#000000"/>
          <w:sz w:val="15"/>
          <w:lang w:val="pt-PT"/>
          <w:spacing w:val="0"/>
          <w:w w:val="105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pt-PT"/>
          <w:spacing w:val="0"/>
          <w:w w:val="105"/>
          <w:strike w:val="false"/>
          <w:vertAlign w:val="baseline"/>
          <w:rFonts w:ascii="Arial" w:hAnsi="Arial"/>
        </w:rPr>
        <w:t xml:space="preserve">19 de 32</w:t>
      </w:r>
    </w:p>
    <w:p>
      <w:pPr>
        <w:ind w:right="0" w:left="288" w:firstLine="0"/>
        <w:spacing w:before="36" w:after="0" w:line="280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55857" from="27.45pt,0.25pt" to="438.4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ng 61 1050-189 Lisboa Tel.: 211 545 600 1 Fax: 211 545 649
</w:t>
        <w:br/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Capital Estatutário: 26.260.689,00 Euros N.9 único de matrícula na C.R.C. Lisboa e de pessoa coletiva 509 540716</w:t>
      </w:r>
    </w:p>
    <w:p>
      <w:pPr>
        <w:sectPr>
          <w:pgSz w:w="11918" w:h="16854" w:orient="portrait"/>
          <w:type w:val="nextPage"/>
          <w:textDirection w:val="lrTb"/>
          <w:pgMar w:bottom="492" w:top="532" w:right="1397" w:left="1461" w:header="720" w:footer="720"/>
          <w:titlePg w:val="false"/>
        </w:sectPr>
      </w:pPr>
    </w:p>
    <w:p>
      <w:pPr>
        <w:ind w:right="0" w:left="0" w:firstLine="0"/>
        <w:spacing w:before="36" w:after="0" w:line="397" w:lineRule="exact"/>
        <w:jc w:val="left"/>
        <w:rPr>
          <w:b w:val="true"/>
          <w:color w:val="#000000"/>
          <w:sz w:val="48"/>
          <w:lang w:val="pt-PT"/>
          <w:spacing w:val="12"/>
          <w:w w:val="70"/>
          <w:strike w:val="false"/>
          <w:vertAlign w:val="baseline"/>
          <w:rFonts w:ascii="Verdana" w:hAnsi="Verdana"/>
        </w:rPr>
      </w:pPr>
      <w:r>
        <w:pict>
          <v:line strokeweight="0.7pt" strokecolor="#0F1425" from="-5.95pt,1.3pt" to="-5.95pt,29.2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48"/>
          <w:lang w:val="pt-PT"/>
          <w:spacing w:val="12"/>
          <w:w w:val="70"/>
          <w:strike w:val="false"/>
          <w:vertAlign w:val="baseline"/>
          <w:rFonts w:ascii="Verdana" w:hAnsi="Verdana"/>
        </w:rPr>
        <w:t xml:space="preserve">SPMS,„</w:t>
      </w:r>
    </w:p>
    <w:p>
      <w:pPr>
        <w:ind w:right="0" w:left="0" w:firstLine="0"/>
        <w:spacing w:before="0" w:after="0" w:line="193" w:lineRule="exact"/>
        <w:jc w:val="left"/>
        <w:rPr>
          <w:color w:val="#000000"/>
          <w:sz w:val="15"/>
          <w:lang w:val="pt-PT"/>
          <w:spacing w:val="-7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pt-PT"/>
          <w:spacing w:val="-7"/>
          <w:w w:val="100"/>
          <w:strike w:val="false"/>
          <w:vertAlign w:val="baseline"/>
          <w:rFonts w:ascii="Tahoma" w:hAnsi="Tahoma"/>
        </w:rPr>
        <w:t xml:space="preserve">Serviços Partilhados do Ministério da Saúde</w:t>
      </w:r>
    </w:p>
    <w:p>
      <w:pPr>
        <w:ind w:right="0" w:left="1872" w:firstLine="-360"/>
        <w:spacing w:before="504" w:after="0" w:line="318" w:lineRule="exact"/>
        <w:jc w:val="left"/>
        <w:tabs>
          <w:tab w:val="clear" w:pos="360"/>
          <w:tab w:val="decimal" w:pos="1872"/>
        </w:tabs>
        <w:numPr>
          <w:ilvl w:val="0"/>
          <w:numId w:val="9"/>
        </w:numP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  <w:t xml:space="preserve">A autenticação deve utilizar a credenciação dos utilizadores na LDAP existente na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ULSM, baseada em tecnologia Microsoft Active Directory;</w:t>
      </w:r>
    </w:p>
    <w:p>
      <w:pPr>
        <w:ind w:right="0" w:left="1872" w:firstLine="-360"/>
        <w:spacing w:before="180" w:after="0" w:line="349" w:lineRule="exact"/>
        <w:jc w:val="both"/>
        <w:tabs>
          <w:tab w:val="clear" w:pos="360"/>
          <w:tab w:val="decimal" w:pos="1872"/>
        </w:tabs>
        <w:numPr>
          <w:ilvl w:val="0"/>
          <w:numId w:val="9"/>
        </w:numP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O aplicativo deve cumprir as determinações na Resolução de Conselho de </w:t>
      </w: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Ministros n.</w:t>
      </w:r>
      <w:r>
        <w:rPr>
          <w:color w:val="#000000"/>
          <w:sz w:val="19"/>
          <w:lang w:val="pt-PT"/>
          <w:spacing w:val="-5"/>
          <w:w w:val="115"/>
          <w:strike w:val="false"/>
          <w:vertAlign w:val="superscript"/>
          <w:rFonts w:ascii="Arial" w:hAnsi="Arial"/>
        </w:rPr>
        <w:t xml:space="preserve">2</w:t>
      </w: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 41/2018, nomeadamente em matéria de rastreabilidade e de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autenticação forte via Cartão de Cidadão/Chave Móvel Digital;</w:t>
      </w:r>
    </w:p>
    <w:p>
      <w:pPr>
        <w:ind w:right="0" w:left="1872" w:firstLine="-360"/>
        <w:spacing w:before="216" w:after="0" w:line="322" w:lineRule="exact"/>
        <w:jc w:val="left"/>
        <w:tabs>
          <w:tab w:val="clear" w:pos="360"/>
          <w:tab w:val="decimal" w:pos="1872"/>
        </w:tabs>
        <w:numPr>
          <w:ilvl w:val="0"/>
          <w:numId w:val="9"/>
        </w:numP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0"/>
          <w:w w:val="100"/>
          <w:strike w:val="false"/>
          <w:vertAlign w:val="baseline"/>
          <w:rFonts w:ascii="Verdana" w:hAnsi="Verdana"/>
        </w:rPr>
        <w:t xml:space="preserve">O aplicativo deve assegurar a comunicação de dados por protocolos de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comunicação seguros.</w:t>
      </w:r>
    </w:p>
    <w:p>
      <w:pPr>
        <w:ind w:right="0" w:left="792" w:firstLine="0"/>
        <w:spacing w:before="252" w:after="0" w:line="225" w:lineRule="exact"/>
        <w:jc w:val="left"/>
        <w:tabs>
          <w:tab w:val="clear" w:pos="360"/>
          <w:tab w:val="decimal" w:pos="1152"/>
        </w:tabs>
        <w:numPr>
          <w:ilvl w:val="0"/>
          <w:numId w:val="10"/>
        </w:numPr>
        <w:rPr>
          <w:b w:val="true"/>
          <w:color w:val="#000000"/>
          <w:sz w:val="18"/>
          <w:lang w:val="pt-PT"/>
          <w:spacing w:val="26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6"/>
          <w:w w:val="95"/>
          <w:strike w:val="false"/>
          <w:vertAlign w:val="baseline"/>
          <w:rFonts w:ascii="Tahoma" w:hAnsi="Tahoma"/>
        </w:rPr>
        <w:t xml:space="preserve">Reporting</w:t>
      </w:r>
    </w:p>
    <w:p>
      <w:pPr>
        <w:ind w:right="0" w:left="1800" w:firstLine="-360"/>
        <w:spacing w:before="216" w:after="0" w:line="322" w:lineRule="exact"/>
        <w:jc w:val="left"/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a) O adjudicatário deve disponibilizar uma credencial para acesso à base de dados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para efeitos de extração de dados.</w:t>
      </w:r>
    </w:p>
    <w:p>
      <w:pPr>
        <w:ind w:right="0" w:left="792" w:firstLine="0"/>
        <w:spacing w:before="252" w:after="0" w:line="185" w:lineRule="exact"/>
        <w:jc w:val="left"/>
        <w:tabs>
          <w:tab w:val="clear" w:pos="360"/>
          <w:tab w:val="decimal" w:pos="1152"/>
        </w:tabs>
        <w:numPr>
          <w:ilvl w:val="0"/>
          <w:numId w:val="10"/>
        </w:numPr>
        <w:rPr>
          <w:b w:val="true"/>
          <w:color w:val="#000000"/>
          <w:sz w:val="18"/>
          <w:lang w:val="pt-PT"/>
          <w:spacing w:val="22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22"/>
          <w:w w:val="95"/>
          <w:strike w:val="false"/>
          <w:vertAlign w:val="baseline"/>
          <w:rFonts w:ascii="Tahoma" w:hAnsi="Tahoma"/>
        </w:rPr>
        <w:t xml:space="preserve">Licenciamento</w:t>
      </w:r>
    </w:p>
    <w:p>
      <w:pPr>
        <w:ind w:right="0" w:left="1872" w:firstLine="-360"/>
        <w:spacing w:before="216" w:after="0" w:line="347" w:lineRule="exact"/>
        <w:jc w:val="both"/>
        <w:tabs>
          <w:tab w:val="clear" w:pos="360"/>
          <w:tab w:val="decimal" w:pos="1872"/>
        </w:tabs>
        <w:numPr>
          <w:ilvl w:val="0"/>
          <w:numId w:val="11"/>
        </w:numP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11"/>
          <w:w w:val="100"/>
          <w:strike w:val="false"/>
          <w:vertAlign w:val="baseline"/>
          <w:rFonts w:ascii="Verdana" w:hAnsi="Verdana"/>
        </w:rPr>
        <w:t xml:space="preserve">A proposta deve indicar uma previsão de custos para o licenciamento anual dos </w:t>
      </w: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produtos (software de base ou outros) que devem ser instalados a nível dos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servidores para assegurar o ambiente de produção do aplicacional;</w:t>
      </w:r>
    </w:p>
    <w:p>
      <w:pPr>
        <w:ind w:right="0" w:left="1872" w:firstLine="-360"/>
        <w:spacing w:before="216" w:after="0" w:line="363" w:lineRule="exact"/>
        <w:jc w:val="both"/>
        <w:tabs>
          <w:tab w:val="clear" w:pos="360"/>
          <w:tab w:val="decimal" w:pos="1872"/>
        </w:tabs>
        <w:numPr>
          <w:ilvl w:val="0"/>
          <w:numId w:val="11"/>
        </w:numP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O licenciamento do aplicacional a fornecer no âmbito deste procedimento será </w:t>
      </w:r>
      <w:r>
        <w:rPr>
          <w:color w:val="#000000"/>
          <w:sz w:val="19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vitalício para a ULSM, com direito de acesso a novas versões evolutivas do aplicativo desde que solicitadas pela ULSM no contexto de um contrato de </w:t>
      </w:r>
      <w:r>
        <w:rPr>
          <w:color w:val="#000000"/>
          <w:sz w:val="19"/>
          <w:lang w:val="pt-PT"/>
          <w:spacing w:val="-7"/>
          <w:w w:val="100"/>
          <w:strike w:val="false"/>
          <w:vertAlign w:val="baseline"/>
          <w:rFonts w:ascii="Verdana" w:hAnsi="Verdana"/>
        </w:rPr>
        <w:t xml:space="preserve">manutenção onde estão incluídos serviços para novos desenvolvimentos.</w:t>
      </w:r>
    </w:p>
    <w:p>
      <w:pPr>
        <w:ind w:right="0" w:left="288" w:firstLine="0"/>
        <w:spacing w:before="432" w:after="0" w:line="375" w:lineRule="exact"/>
        <w:jc w:val="center"/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</w:pP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Artigo 4.</w:t>
      </w:r>
      <w:r>
        <w:rPr>
          <w:b w:val="true"/>
          <w:color w:val="#000000"/>
          <w:sz w:val="18"/>
          <w:lang w:val="pt-PT"/>
          <w:spacing w:val="0"/>
          <w:w w:val="100"/>
          <w:strike w:val="false"/>
          <w:vertAlign w:val="superscript"/>
          <w:rFonts w:ascii="Verdana" w:hAnsi="Verdana"/>
        </w:rPr>
        <w:t xml:space="preserve">2</w:t>
      </w:r>
      <w:r>
        <w:rPr>
          <w:b w:val="true"/>
          <w:color w:val="#000000"/>
          <w:sz w:val="18"/>
          <w:lang w:val="pt-PT"/>
          <w:spacing w:val="0"/>
          <w:w w:val="95"/>
          <w:strike w:val="false"/>
          <w:vertAlign w:val="baseline"/>
          <w:rFonts w:ascii="Tahoma" w:hAnsi="Tahoma"/>
        </w:rPr>
        <w:t xml:space="preserve">
</w:t>
        <w:br/>
      </w:r>
      <w:r>
        <w:rPr>
          <w:b w:val="true"/>
          <w:color w:val="#000000"/>
          <w:sz w:val="18"/>
          <w:lang w:val="pt-PT"/>
          <w:spacing w:val="2"/>
          <w:w w:val="95"/>
          <w:strike w:val="false"/>
          <w:vertAlign w:val="baseline"/>
          <w:rFonts w:ascii="Tahoma" w:hAnsi="Tahoma"/>
        </w:rPr>
        <w:t xml:space="preserve">Serviços de instalação</w:t>
      </w:r>
    </w:p>
    <w:p>
      <w:pPr>
        <w:ind w:right="0" w:left="1152" w:firstLine="-360"/>
        <w:spacing w:before="180" w:after="0" w:line="349" w:lineRule="exact"/>
        <w:jc w:val="both"/>
        <w:tabs>
          <w:tab w:val="clear" w:pos="360"/>
          <w:tab w:val="decimal" w:pos="1152"/>
        </w:tabs>
        <w:numPr>
          <w:ilvl w:val="0"/>
          <w:numId w:val="12"/>
        </w:numPr>
        <w:rPr>
          <w:color w:val="#000000"/>
          <w:sz w:val="19"/>
          <w:lang w:val="pt-PT"/>
          <w:spacing w:val="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6"/>
          <w:w w:val="100"/>
          <w:strike w:val="false"/>
          <w:vertAlign w:val="baseline"/>
          <w:rFonts w:ascii="Verdana" w:hAnsi="Verdana"/>
        </w:rPr>
        <w:t xml:space="preserve">O adjudicatário deve identificar e incluir todos os serviços necessários ao </w:t>
      </w:r>
      <w:r>
        <w:rPr>
          <w:color w:val="#000000"/>
          <w:sz w:val="19"/>
          <w:lang w:val="pt-PT"/>
          <w:spacing w:val="-10"/>
          <w:w w:val="100"/>
          <w:strike w:val="false"/>
          <w:vertAlign w:val="baseline"/>
          <w:rFonts w:ascii="Verdana" w:hAnsi="Verdana"/>
        </w:rPr>
        <w:t xml:space="preserve">desenvolvimento do aplicativo bem como, a instalação e configuração em ambiente de </w:t>
      </w: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produção nas instalações do cliente numa lógica chave-na-mão;</w:t>
      </w:r>
    </w:p>
    <w:p>
      <w:pPr>
        <w:ind w:right="0" w:left="1152" w:firstLine="-360"/>
        <w:spacing w:before="216" w:after="0" w:line="321" w:lineRule="exact"/>
        <w:jc w:val="left"/>
        <w:tabs>
          <w:tab w:val="clear" w:pos="360"/>
          <w:tab w:val="decimal" w:pos="1152"/>
        </w:tabs>
        <w:numPr>
          <w:ilvl w:val="0"/>
          <w:numId w:val="12"/>
        </w:numP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6"/>
          <w:w w:val="100"/>
          <w:strike w:val="false"/>
          <w:vertAlign w:val="baseline"/>
          <w:rFonts w:ascii="Verdana" w:hAnsi="Verdana"/>
        </w:rPr>
        <w:t xml:space="preserve">Incluem-se nestes serviços o apoio presencial ao arranque do aplicacional durante 10 </w:t>
      </w:r>
      <w:r>
        <w:rPr>
          <w:color w:val="#000000"/>
          <w:sz w:val="19"/>
          <w:lang w:val="pt-PT"/>
          <w:spacing w:val="-9"/>
          <w:w w:val="100"/>
          <w:strike w:val="false"/>
          <w:vertAlign w:val="baseline"/>
          <w:rFonts w:ascii="Verdana" w:hAnsi="Verdana"/>
        </w:rPr>
        <w:t xml:space="preserve">(dez) dias úteis, não consecutivos e a planear com a ULSM;</w:t>
      </w:r>
    </w:p>
    <w:p>
      <w:pPr>
        <w:ind w:right="0" w:left="1152" w:firstLine="-360"/>
        <w:spacing w:before="180" w:after="0" w:line="315" w:lineRule="exact"/>
        <w:jc w:val="left"/>
        <w:tabs>
          <w:tab w:val="clear" w:pos="360"/>
          <w:tab w:val="decimal" w:pos="1152"/>
        </w:tabs>
        <w:numPr>
          <w:ilvl w:val="0"/>
          <w:numId w:val="12"/>
        </w:numP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8"/>
          <w:w w:val="100"/>
          <w:strike w:val="false"/>
          <w:vertAlign w:val="baseline"/>
          <w:rFonts w:ascii="Verdana" w:hAnsi="Verdana"/>
        </w:rPr>
        <w:t xml:space="preserve">Excluem-se destes serviços a instalação dos sistemas operativos nos servidores e postos de trabalho;</w:t>
      </w:r>
    </w:p>
    <w:p>
      <w:pPr>
        <w:ind w:right="0" w:left="1152" w:firstLine="-360"/>
        <w:spacing w:before="216" w:after="0" w:line="244" w:lineRule="exact"/>
        <w:jc w:val="left"/>
        <w:tabs>
          <w:tab w:val="clear" w:pos="360"/>
          <w:tab w:val="decimal" w:pos="1152"/>
        </w:tabs>
        <w:numPr>
          <w:ilvl w:val="0"/>
          <w:numId w:val="12"/>
        </w:numPr>
        <w:rPr>
          <w:color w:val="#000000"/>
          <w:sz w:val="19"/>
          <w:lang w:val="pt-PT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9"/>
          <w:lang w:val="pt-PT"/>
          <w:spacing w:val="-3"/>
          <w:w w:val="100"/>
          <w:strike w:val="false"/>
          <w:vertAlign w:val="baseline"/>
          <w:rFonts w:ascii="Verdana" w:hAnsi="Verdana"/>
        </w:rPr>
        <w:t xml:space="preserve">Os valores máximos Hora/Homem para a prestação dos serviços são:</w:t>
      </w:r>
    </w:p>
    <w:p>
      <w:pPr>
        <w:ind w:right="36" w:left="0" w:firstLine="0"/>
        <w:spacing w:before="36" w:after="1728" w:line="187" w:lineRule="exact"/>
        <w:jc w:val="right"/>
        <w:rPr>
          <w:color w:val="#000000"/>
          <w:sz w:val="15"/>
          <w:lang w:val="pt-PT"/>
          <w:spacing w:val="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5"/>
          <w:lang w:val="pt-PT"/>
          <w:spacing w:val="0"/>
          <w:w w:val="100"/>
          <w:strike w:val="false"/>
          <w:vertAlign w:val="baseline"/>
          <w:rFonts w:ascii="Tahoma" w:hAnsi="Tahoma"/>
        </w:rPr>
        <w:t xml:space="preserve">20 de 32</w:t>
      </w:r>
    </w:p>
    <w:p>
      <w:pPr>
        <w:ind w:right="0" w:left="288" w:firstLine="0"/>
        <w:spacing w:before="36" w:after="0" w:line="283" w:lineRule="auto"/>
        <w:jc w:val="center"/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</w:pPr>
      <w:r>
        <w:pict>
          <v:line strokeweight="0.35pt" strokecolor="#515453" from="27.7pt,0.25pt" to="438.7pt,0.2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2"/>
          <w:lang w:val="pt-PT"/>
          <w:spacing w:val="-5"/>
          <w:w w:val="100"/>
          <w:strike w:val="false"/>
          <w:vertAlign w:val="baseline"/>
          <w:rFonts w:ascii="Verdana" w:hAnsi="Verdana"/>
        </w:rPr>
        <w:t xml:space="preserve">SPMS — Serviços Partilhados do Ministério da Saúde, E.P.E. Av. da República, na 61 1050-189 Lisboa Tel.: 211 545 600 I Fax: 211 545 649
</w:t>
        <w:br/>
      </w:r>
      <w:r>
        <w:rPr>
          <w:color w:val="#000000"/>
          <w:sz w:val="12"/>
          <w:lang w:val="pt-PT"/>
          <w:spacing w:val="-4"/>
          <w:w w:val="100"/>
          <w:strike w:val="false"/>
          <w:vertAlign w:val="baseline"/>
          <w:rFonts w:ascii="Verdana" w:hAnsi="Verdana"/>
        </w:rPr>
        <w:t xml:space="preserve">Capital Estatutário: 26.260.689,00 Euros N. único de matrícula na C.R.C. Lisboa e de pessoa coletiva 509 540716</w:t>
      </w:r>
    </w:p>
    <w:sectPr>
      <w:pgSz w:w="11918" w:h="16854" w:orient="portrait"/>
      <w:type w:val="nextPage"/>
      <w:textDirection w:val="lrTb"/>
      <w:pgMar w:bottom="490" w:top="514" w:right="1403" w:left="145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lowerLetter"/>
      <w:lvlText w:val="%1)"/>
      <w:start w:val="4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-13"/>
        <w:w w:val="100"/>
        <w:strike w:val="false"/>
        <w:vertAlign w:val="baseline"/>
        <w:rFonts w:ascii="Verdana" w:hAnsi="Verdana"/>
      </w:rPr>
    </w:lvl>
  </w:abstractNum>
  <w:abstractNum w:abstractNumId="2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-7"/>
        <w:w w:val="100"/>
        <w:strike w:val="false"/>
        <w:vertAlign w:val="baseline"/>
        <w:rFonts w:ascii="Verdana" w:hAnsi="Verdana"/>
      </w:rPr>
    </w:lvl>
  </w:abstractNum>
  <w:abstractNum w:abstractNumId="3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-5"/>
        <w:w w:val="100"/>
        <w:strike w:val="false"/>
        <w:vertAlign w:val="baseline"/>
        <w:rFonts w:ascii="Verdana" w:hAnsi="Verdana"/>
      </w:rPr>
    </w:lvl>
  </w:abstractNum>
  <w:abstractNum w:abstractNumId="4">
    <w:lvl w:ilvl="0">
      <w:numFmt w:val="lowerLetter"/>
      <w:lvlText w:val="%1)"/>
      <w:start w:val="7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0"/>
        <w:w w:val="100"/>
        <w:strike w:val="false"/>
        <w:vertAlign w:val="baseline"/>
        <w:rFonts w:ascii="Tahoma" w:hAnsi="Tahoma"/>
      </w:rPr>
    </w:lvl>
  </w:abstractNum>
  <w:abstractNum w:abstractNumId="5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6"/>
        <w:w w:val="100"/>
        <w:strike w:val="false"/>
        <w:vertAlign w:val="baseline"/>
        <w:rFonts w:ascii="Tahoma" w:hAnsi="Tahoma"/>
      </w:rPr>
    </w:lvl>
  </w:abstractNum>
  <w:abstractNum w:abstractNumId="6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-4"/>
        <w:w w:val="100"/>
        <w:strike w:val="false"/>
        <w:vertAlign w:val="baseline"/>
        <w:rFonts w:ascii="Verdana" w:hAnsi="Verdana"/>
      </w:rPr>
    </w:lvl>
  </w:abstractNum>
  <w:abstractNum w:abstractNumId="7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-4"/>
        <w:w w:val="100"/>
        <w:strike w:val="false"/>
        <w:vertAlign w:val="baseline"/>
        <w:rFonts w:ascii="Verdana" w:hAnsi="Verdana"/>
      </w:rPr>
    </w:lvl>
  </w:abstractNum>
  <w:abstractNum w:abstractNumId="8">
    <w:lvl w:ilvl="0">
      <w:numFmt w:val="lowerLetter"/>
      <w:lvlText w:val="%1)"/>
      <w:start w:val="4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-11"/>
        <w:w w:val="100"/>
        <w:strike w:val="false"/>
        <w:vertAlign w:val="baseline"/>
        <w:rFonts w:ascii="Verdana" w:hAnsi="Verdana"/>
      </w:rPr>
    </w:lvl>
  </w:abstractNum>
  <w:abstractNum w:abstractNumId="9">
    <w:lvl w:ilvl="0">
      <w:numFmt w:val="decimal"/>
      <w:lvlText w:val="%1."/>
      <w:start w:val="7"/>
      <w:lvlJc w:val="left"/>
      <w:pPr>
        <w:ind w:left="720"/>
        <w:tabs>
          <w:tab w:val="decimal" w:pos="360"/>
        </w:tabs>
      </w:pPr>
      <w:rPr>
        <w:b w:val="true"/>
        <w:color w:val="#000000"/>
        <w:sz w:val="18"/>
        <w:lang w:val="pt-PT"/>
        <w:spacing w:val="26"/>
        <w:w w:val="95"/>
        <w:strike w:val="false"/>
        <w:vertAlign w:val="baseline"/>
        <w:rFonts w:ascii="Tahoma" w:hAnsi="Tahoma"/>
      </w:rPr>
    </w:lvl>
  </w:abstractNum>
  <w:abstractNum w:abstractNumId="10">
    <w:lvl w:ilvl="0">
      <w:numFmt w:val="lowerLetter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-11"/>
        <w:w w:val="100"/>
        <w:strike w:val="false"/>
        <w:vertAlign w:val="baseline"/>
        <w:rFonts w:ascii="Verdana" w:hAnsi="Verdana"/>
      </w:rPr>
    </w:lvl>
  </w:abstractNum>
  <w:abstractNum w:abstractNumId="11">
    <w:lvl w:ilvl="0">
      <w:numFmt w:val="decimal"/>
      <w:lvlText w:val="%1)"/>
      <w:start w:val="1"/>
      <w:lvlJc w:val="left"/>
      <w:pPr>
        <w:ind w:left="720"/>
        <w:tabs>
          <w:tab w:val="decimal" w:pos="360"/>
        </w:tabs>
      </w:pPr>
      <w:rPr>
        <w:color w:val="#000000"/>
        <w:sz w:val="19"/>
        <w:lang w:val="pt-PT"/>
        <w:spacing w:val="6"/>
        <w:w w:val="100"/>
        <w:strike w:val="false"/>
        <w:vertAlign w:val="baseline"/>
        <w:rFonts w:ascii="Verdana" w:hAnsi="Verdana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