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8"/>
          <w:lang w:val="pt-PT"/>
          <w:spacing w:val="0"/>
          <w:w w:val="70"/>
          <w:strike w:val="false"/>
          <w:vertAlign w:val="baseline"/>
          <w:rFonts w:ascii="Tahoma" w:hAnsi="Tahoma"/>
        </w:rPr>
      </w:pPr>
      <w:r>
        <w:pict>
          <v:line strokeweight="0.7pt" strokecolor="#0A1320" from="-7.55pt,0.7pt" to="-7.55pt,28.6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0"/>
          <w:w w:val="70"/>
          <w:strike w:val="false"/>
          <w:vertAlign w:val="baseline"/>
          <w:rFonts w:ascii="Tahoma" w:hAnsi="Tahoma"/>
        </w:rPr>
        <w:t xml:space="preserve">SPMSE„</w:t>
      </w:r>
    </w:p>
    <w:p>
      <w:pPr>
        <w:ind w:right="0" w:left="0" w:firstLine="0"/>
        <w:spacing w:before="0" w:after="648" w:line="273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tbl>
      <w:tblPr>
        <w:jc w:val="left"/>
        <w:tblInd w:w="2607" w:type="dxa"/>
        <w:tblLayout w:type="fixed"/>
        <w:tblCellMar>
          <w:left w:w="0" w:type="dxa"/>
          <w:right w:w="0" w:type="dxa"/>
        </w:tblCellMar>
      </w:tblPr>
      <w:tblGrid>
        <w:gridCol w:w="2444"/>
        <w:gridCol w:w="1624"/>
      </w:tblGrid>
      <w:tr>
        <w:trPr>
          <w:trHeight w:val="41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936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pt-PT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0"/>
                <w:lang w:val="pt-PT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Perfil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50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pt-PT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0"/>
                <w:lang w:val="pt-PT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Valor</w:t>
            </w:r>
          </w:p>
        </w:tc>
      </w:tr>
      <w:tr>
        <w:trPr>
          <w:trHeight w:val="41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- Gestor de Projeto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65,00€/hora</w:t>
            </w:r>
          </w:p>
        </w:tc>
      </w:tr>
      <w:tr>
        <w:trPr>
          <w:trHeight w:val="41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- Arquiteto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55,00€/hora</w:t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- Consultor tecnológico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32,50€/hora</w:t>
            </w:r>
          </w:p>
        </w:tc>
      </w:tr>
      <w:tr>
        <w:trPr>
          <w:trHeight w:val="41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- Consultor Funcional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50,00€/hora</w:t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- Consultor Estratégico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62,50€/hora</w:t>
            </w:r>
          </w:p>
        </w:tc>
      </w:tr>
      <w:tr>
        <w:trPr>
          <w:trHeight w:val="41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05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- Webdesigner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67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pt-PT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32,50€/hora."</w:t>
            </w:r>
          </w:p>
        </w:tc>
      </w:tr>
    </w:tbl>
    <w:p>
      <w:pPr>
        <w:spacing w:before="0" w:after="567" w:line="20" w:lineRule="exact"/>
      </w:pPr>
    </w:p>
    <w:p>
      <w:pPr>
        <w:ind w:right="0" w:left="288" w:firstLine="0"/>
        <w:spacing w:before="0" w:after="0" w:line="375" w:lineRule="exact"/>
        <w:jc w:val="center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Artigo 5.9
</w:t>
        <w:br/>
      </w: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Certificações e referências</w:t>
      </w:r>
    </w:p>
    <w:p>
      <w:pPr>
        <w:ind w:right="72" w:left="1080" w:firstLine="-360"/>
        <w:spacing w:before="180" w:after="0" w:line="322" w:lineRule="exact"/>
        <w:jc w:val="left"/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1) </w:t>
      </w: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O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adjudicatário deverá incluir na sua proposta os comprovativos da, ou das, certificações na tecnologia e metodologia de gestão de projeto proposta;</w:t>
      </w:r>
    </w:p>
    <w:p>
      <w:pPr>
        <w:ind w:right="72" w:left="1008" w:firstLine="-288"/>
        <w:spacing w:before="180" w:after="0" w:line="364" w:lineRule="exact"/>
        <w:jc w:val="both"/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2) A equipa de projeto do adjudicatário, para além de ser constituída por profissionais que </w:t>
      </w:r>
      <w:r>
        <w:rPr>
          <w:color w:val="#000000"/>
          <w:sz w:val="19"/>
          <w:lang w:val="pt-PT"/>
          <w:spacing w:val="13"/>
          <w:w w:val="100"/>
          <w:strike w:val="false"/>
          <w:vertAlign w:val="baseline"/>
          <w:rFonts w:ascii="Tahoma" w:hAnsi="Tahoma"/>
        </w:rPr>
        <w:t xml:space="preserve">correspondam, pelo menos, aos seguintes perfis: Gestor de Projeto, Consultor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Estratégico, Consultor Funcional e Consultor Tecnológico, deve incluir obrigatoriamente especialistas nas seguintes áreas (incluir na proposta os </w:t>
      </w:r>
      <w:r>
        <w:rPr>
          <w:i w:val="true"/>
          <w:color w:val="#000000"/>
          <w:sz w:val="20"/>
          <w:lang w:val="pt-PT"/>
          <w:spacing w:val="2"/>
          <w:w w:val="100"/>
          <w:strike w:val="false"/>
          <w:vertAlign w:val="baseline"/>
          <w:rFonts w:ascii="Arial" w:hAnsi="Arial"/>
        </w:rPr>
        <w:t xml:space="preserve">Curriculum Vitae):</w:t>
      </w:r>
    </w:p>
    <w:p>
      <w:pPr>
        <w:ind w:right="72" w:left="1800" w:firstLine="-360"/>
        <w:spacing w:before="216" w:after="0" w:line="320" w:lineRule="exact"/>
        <w:jc w:val="left"/>
        <w:tabs>
          <w:tab w:val="clear" w:pos="360"/>
          <w:tab w:val="decimal" w:pos="1800"/>
        </w:tabs>
        <w:numPr>
          <w:ilvl w:val="0"/>
          <w:numId w:val="2"/>
        </w:numP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Farmacovigilância (experiência mínima 5 anos, com publicações científicas na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área);</w:t>
      </w:r>
    </w:p>
    <w:p>
      <w:pPr>
        <w:ind w:right="72" w:left="1800" w:firstLine="-360"/>
        <w:spacing w:before="180" w:after="0" w:line="318" w:lineRule="exact"/>
        <w:jc w:val="left"/>
        <w:tabs>
          <w:tab w:val="clear" w:pos="360"/>
          <w:tab w:val="decimal" w:pos="1800"/>
        </w:tabs>
        <w:numPr>
          <w:ilvl w:val="0"/>
          <w:numId w:val="2"/>
        </w:numP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  <w:t xml:space="preserve">Mestrado em medicina, com publicações científicas na área da síntese de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evidência, de modelos de decisão e das reações alérgicas;</w:t>
      </w:r>
    </w:p>
    <w:p>
      <w:pPr>
        <w:ind w:right="72" w:left="1800" w:firstLine="-360"/>
        <w:spacing w:before="216" w:after="0" w:line="320" w:lineRule="exact"/>
        <w:jc w:val="left"/>
        <w:tabs>
          <w:tab w:val="clear" w:pos="360"/>
          <w:tab w:val="decimal" w:pos="1800"/>
        </w:tabs>
        <w:numPr>
          <w:ilvl w:val="0"/>
          <w:numId w:val="2"/>
        </w:numP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Registos clínicos eletrónicos (experiência mínima 5 anos, com publicações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científicas na área);</w:t>
      </w:r>
    </w:p>
    <w:p>
      <w:pPr>
        <w:ind w:right="72" w:left="1800" w:firstLine="-360"/>
        <w:spacing w:before="180" w:after="0" w:line="318" w:lineRule="exact"/>
        <w:jc w:val="left"/>
        <w:tabs>
          <w:tab w:val="clear" w:pos="360"/>
          <w:tab w:val="decimal" w:pos="1800"/>
        </w:tabs>
        <w:numPr>
          <w:ilvl w:val="0"/>
          <w:numId w:val="2"/>
        </w:numP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Integrações (titular de certificado de formação em tecnologia Mirth e experiência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mínima de 5 anos);</w:t>
      </w:r>
    </w:p>
    <w:p>
      <w:pPr>
        <w:ind w:right="0" w:left="1800" w:firstLine="-360"/>
        <w:spacing w:before="216" w:after="0" w:line="241" w:lineRule="exact"/>
        <w:jc w:val="left"/>
        <w:tabs>
          <w:tab w:val="clear" w:pos="360"/>
          <w:tab w:val="decimal" w:pos="1800"/>
        </w:tabs>
        <w:numPr>
          <w:ilvl w:val="0"/>
          <w:numId w:val="2"/>
        </w:numP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Bases de dados (experiência mínima de 5 anos);</w:t>
      </w:r>
    </w:p>
    <w:p>
      <w:pPr>
        <w:ind w:right="72" w:left="1800" w:firstLine="-360"/>
        <w:spacing w:before="180" w:after="0" w:line="320" w:lineRule="exact"/>
        <w:jc w:val="left"/>
        <w:tabs>
          <w:tab w:val="clear" w:pos="360"/>
          <w:tab w:val="decimal" w:pos="1800"/>
        </w:tabs>
        <w:numPr>
          <w:ilvl w:val="0"/>
          <w:numId w:val="2"/>
        </w:numP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Desenvolvimento de sistemas de farmacovigilância (experiência mínima de 5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anos).</w:t>
      </w:r>
    </w:p>
    <w:p>
      <w:pPr>
        <w:ind w:right="72" w:left="1008" w:firstLine="-360"/>
        <w:spacing w:before="216" w:after="0" w:line="347" w:lineRule="exact"/>
        <w:jc w:val="both"/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3) </w:t>
      </w:r>
      <w:r>
        <w:rPr>
          <w:b w:val="true"/>
          <w:color w:val="#000000"/>
          <w:sz w:val="18"/>
          <w:lang w:val="pt-PT"/>
          <w:spacing w:val="6"/>
          <w:w w:val="95"/>
          <w:strike w:val="false"/>
          <w:vertAlign w:val="baseline"/>
          <w:rFonts w:ascii="Tahoma" w:hAnsi="Tahoma"/>
        </w:rPr>
        <w:t xml:space="preserve">O </w:t>
      </w: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adjudicatário deverá incluir na sua proposta, no mínimo, duas referências de projetos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que tenha desenvolvido para a área da farmacovigilância e que a ULSM possa contactar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para aferir o grau de satisfação.</w:t>
      </w:r>
    </w:p>
    <w:p>
      <w:pPr>
        <w:ind w:right="72" w:left="0" w:firstLine="0"/>
        <w:spacing w:before="36" w:after="864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21 </w:t>
      </w:r>
      <w:r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  <w:t xml:space="preserve">de 32</w:t>
      </w:r>
    </w:p>
    <w:p>
      <w:pPr>
        <w:ind w:right="0" w:left="216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75959" from="25.75pt,0.25pt" to="436.5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ng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N.g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54" w:right="1369" w:left="1489" w:header="720" w:footer="720"/>
          <w:titlePg w:val="false"/>
        </w:sectPr>
      </w:pPr>
    </w:p>
    <w:p>
      <w:pPr>
        <w:ind w:right="0" w:left="0" w:firstLine="0"/>
        <w:spacing w:before="0" w:after="0" w:line="393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35pt" strokecolor="#0C1624" from="-5.95pt,0.45pt" to="-5.95pt,28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SPMS„,</w:t>
      </w:r>
    </w:p>
    <w:p>
      <w:pPr>
        <w:ind w:right="0" w:left="0" w:firstLine="0"/>
        <w:spacing w:before="0" w:after="0" w:line="191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360" w:firstLine="0"/>
        <w:spacing w:before="504" w:after="0" w:line="377" w:lineRule="exact"/>
        <w:jc w:val="center"/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Artigo 6.</w:t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
</w:t>
        <w:br/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Formação e documentação</w:t>
      </w:r>
    </w:p>
    <w:p>
      <w:pPr>
        <w:ind w:right="0" w:left="1152" w:firstLine="-360"/>
        <w:spacing w:before="180" w:after="0" w:line="346" w:lineRule="exact"/>
        <w:jc w:val="both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  <w:t xml:space="preserve">O adjudicatário deve incluir na sua proposta os modelos que suportam as duas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componentes de Inteligência Artificial bem como a evidência científica das mesmas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(ponto 1.b, do Artigo 2</w:t>
      </w:r>
      <w:r>
        <w:rPr>
          <w:color w:val="#000000"/>
          <w:sz w:val="18"/>
          <w:lang w:val="pt-PT"/>
          <w:spacing w:val="-4"/>
          <w:w w:val="110"/>
          <w:strike w:val="false"/>
          <w:vertAlign w:val="superscript"/>
          <w:rFonts w:ascii="Verdana" w:hAnsi="Verdana"/>
        </w:rPr>
        <w:t xml:space="preserve">9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 deste documento);</w:t>
      </w:r>
    </w:p>
    <w:p>
      <w:pPr>
        <w:ind w:right="0" w:left="1152" w:firstLine="-360"/>
        <w:spacing w:before="216" w:after="0" w:line="348" w:lineRule="exact"/>
        <w:jc w:val="both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O adjudicatário deverá incluir na sua proposta um plano de formação devidamente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adaptado à realidade dos colaboradores da </w:t>
      </w:r>
      <w:r>
        <w:rPr>
          <w:b w:val="true"/>
          <w:color w:val="#000000"/>
          <w:sz w:val="19"/>
          <w:lang w:val="pt-PT"/>
          <w:spacing w:val="-4"/>
          <w:w w:val="100"/>
          <w:strike w:val="false"/>
          <w:vertAlign w:val="baseline"/>
          <w:rFonts w:ascii="Arial" w:hAnsi="Arial"/>
        </w:rPr>
        <w:t xml:space="preserve">ULSM,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de modo a garantir a passagem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conhecimento com vista à correta exploração da solução;</w:t>
      </w:r>
    </w:p>
    <w:p>
      <w:pPr>
        <w:ind w:right="0" w:left="1152" w:firstLine="-360"/>
        <w:spacing w:before="180" w:after="0" w:line="317" w:lineRule="exact"/>
        <w:jc w:val="left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Os conteúdos do plano de formação serão objeto de aprovação prévia pela ULSM,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devendo cobrir todas as funcionalidades do aplicativo;</w:t>
      </w:r>
    </w:p>
    <w:p>
      <w:pPr>
        <w:ind w:right="0" w:left="1152" w:firstLine="-360"/>
        <w:spacing w:before="216" w:after="0" w:line="318" w:lineRule="exact"/>
        <w:jc w:val="left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 plano de formação para os colaboradores da ULSM que irão utilizar a solução deve ser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dimensionado para um total de 20 colaboradores (utilizadores finais e/ou key users);</w:t>
      </w:r>
    </w:p>
    <w:p>
      <w:pPr>
        <w:ind w:right="0" w:left="1152" w:firstLine="-360"/>
        <w:spacing w:before="180" w:after="0" w:line="314" w:lineRule="exact"/>
        <w:jc w:val="left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formação será presencial, na ULSM, e deverá ocorrer em horário laborai e compatível com os colaboradores da ULSM;</w:t>
      </w:r>
    </w:p>
    <w:p>
      <w:pPr>
        <w:ind w:right="0" w:left="1152" w:firstLine="-360"/>
        <w:spacing w:before="216" w:after="0" w:line="348" w:lineRule="exact"/>
        <w:jc w:val="both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Cada sessão de formação ao mesmo grupo de colaboradores da ULSM não deverá durar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mais de 4 horas por dia, de modo a não interferir com o funcionamento regular da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Instituição;</w:t>
      </w:r>
    </w:p>
    <w:p>
      <w:pPr>
        <w:ind w:right="0" w:left="1152" w:firstLine="-360"/>
        <w:spacing w:before="180" w:after="0" w:line="348" w:lineRule="exact"/>
        <w:jc w:val="both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Os formadores deverão possuir competências pedagógicas e experiência em ambiente formativo, e deverão estar suportados pelos currículos enquanto comprovativo das suas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aptidões formativas;</w:t>
      </w:r>
    </w:p>
    <w:p>
      <w:pPr>
        <w:ind w:right="0" w:left="1152" w:firstLine="-360"/>
        <w:spacing w:before="216" w:after="0" w:line="347" w:lineRule="exact"/>
        <w:jc w:val="both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O adjudicatário é responsável por assegurar formação extraordinária sempre que a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mesma se justifique em resultado de introdução/alteração de procedimentos, resolução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de problemas ou medidas de melhoria;</w:t>
      </w:r>
    </w:p>
    <w:p>
      <w:pPr>
        <w:ind w:right="0" w:left="1152" w:firstLine="-360"/>
        <w:spacing w:before="180" w:after="0" w:line="316" w:lineRule="exact"/>
        <w:jc w:val="left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No final da formação deverão ser fornecidos os respetivos comprovativos a cada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colaborador presente na(s) ação(ões) de formação realizada(s);</w:t>
      </w:r>
    </w:p>
    <w:p>
      <w:pPr>
        <w:ind w:right="0" w:left="1152" w:firstLine="-360"/>
        <w:spacing w:before="216" w:after="0" w:line="362" w:lineRule="exact"/>
        <w:jc w:val="both"/>
        <w:tabs>
          <w:tab w:val="clear" w:pos="36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No prazo máximo de 2 semanas após a conclusão da instalação, o adjudicatário deverá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entregar à entidade adjudicante, em suporte eletrónico editável, documento com a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especificação dos requisitos, relatório de instalação, o manual de administração, o manual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de utilização do aplicativo (vídeos e tutoriais) e o procedimento com os passos para abrir</w:t>
      </w:r>
    </w:p>
    <w:p>
      <w:pPr>
        <w:ind w:right="36" w:left="0" w:firstLine="0"/>
        <w:spacing w:before="324" w:after="1476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22 de 32</w:t>
      </w:r>
    </w:p>
    <w:p>
      <w:pPr>
        <w:ind w:right="0" w:left="288" w:firstLine="0"/>
        <w:spacing w:before="36" w:after="0" w:line="304" w:lineRule="auto"/>
        <w:jc w:val="center"/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3F4342" from="172.8pt,0.15pt" to="234.75pt,0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C504E" from="257.75pt,0.15pt" to="411.35pt,0.1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F504F" from="27.9pt,0.35pt" to="149.1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ng 61 1050-189 Lisboa Tel.: 211 545 600 1 Fax: 211 545 649
</w:t>
        <w:br/>
      </w:r>
      <w:r>
        <w:rPr>
          <w:color w:val="#000000"/>
          <w:sz w:val="11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34" w:right="1398" w:left="1460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10"/>
          <w:w w:val="70"/>
          <w:strike w:val="false"/>
          <w:vertAlign w:val="baseline"/>
          <w:rFonts w:ascii="Arial" w:hAnsi="Arial"/>
        </w:rPr>
      </w:pPr>
      <w:r>
        <w:pict>
          <v:line strokeweight="0.7pt" strokecolor="#0D1423" from="-5.9pt,2.1pt" to="-5.9pt,29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10"/>
          <w:w w:val="70"/>
          <w:strike w:val="false"/>
          <w:vertAlign w:val="baseline"/>
          <w:rFonts w:ascii="Arial" w:hAnsi="Arial"/>
        </w:rPr>
        <w:t xml:space="preserve">SPMS„E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72" w:left="1080" w:firstLine="0"/>
        <w:spacing w:before="504" w:after="0" w:line="320" w:lineRule="exact"/>
        <w:jc w:val="left"/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um pedido de assistência. Incluir neste suporte eletrónico editável, todos os restantes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documentos identificados neste documento, designadamente:</w:t>
      </w:r>
    </w:p>
    <w:p>
      <w:pPr>
        <w:ind w:right="0" w:left="1512" w:firstLine="0"/>
        <w:spacing w:before="180" w:after="0" w:line="240" w:lineRule="exact"/>
        <w:jc w:val="left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documentação prevista no ponto 1.h) do Artigo 2</w:t>
      </w:r>
      <w:r>
        <w:rPr>
          <w:color w:val="#000000"/>
          <w:sz w:val="19"/>
          <w:lang w:val="pt-PT"/>
          <w:spacing w:val="-2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 deste documento;</w:t>
      </w:r>
    </w:p>
    <w:p>
      <w:pPr>
        <w:ind w:right="0" w:left="1512" w:firstLine="0"/>
        <w:spacing w:before="180" w:after="0" w:line="241" w:lineRule="exact"/>
        <w:jc w:val="left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documentação prevista no ponto 3.a) do Artigo 3</w:t>
      </w:r>
      <w:r>
        <w:rPr>
          <w:color w:val="#000000"/>
          <w:sz w:val="19"/>
          <w:lang w:val="pt-PT"/>
          <w:spacing w:val="-2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 deste documento.</w:t>
      </w:r>
    </w:p>
    <w:p>
      <w:pPr>
        <w:ind w:right="72" w:left="1080" w:firstLine="-360"/>
        <w:spacing w:before="216" w:after="0" w:line="322" w:lineRule="exact"/>
        <w:jc w:val="left"/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11) A entidade adjudicante poderá, para seu uso exclusivo, proceder à reprodução de todos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os documentos referidos nos pontos anteriores.</w:t>
      </w:r>
    </w:p>
    <w:p>
      <w:pPr>
        <w:ind w:right="0" w:left="288" w:firstLine="0"/>
        <w:spacing w:before="432" w:after="0" w:line="379" w:lineRule="exact"/>
        <w:jc w:val="center"/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Artigo 7.</w:t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
</w:t>
        <w:br/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Garantia, manutenção e suporte</w:t>
      </w:r>
    </w:p>
    <w:p>
      <w:pPr>
        <w:ind w:right="72" w:left="1152" w:firstLine="-360"/>
        <w:spacing w:before="216" w:after="0" w:line="322" w:lineRule="exact"/>
        <w:jc w:val="left"/>
        <w:tabs>
          <w:tab w:val="clear" w:pos="360"/>
          <w:tab w:val="decimal" w:pos="1152"/>
        </w:tabs>
        <w:numPr>
          <w:ilvl w:val="0"/>
          <w:numId w:val="5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O aplicativo desenvolvido no âmbito deste procedimento deverá ter uma garantia mínima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de 24 meses, contados a partir da data de entrada em produção;</w:t>
      </w:r>
    </w:p>
    <w:p>
      <w:pPr>
        <w:ind w:right="72" w:left="1152" w:firstLine="-360"/>
        <w:spacing w:before="180" w:after="0" w:line="383" w:lineRule="exact"/>
        <w:jc w:val="both"/>
        <w:tabs>
          <w:tab w:val="clear" w:pos="360"/>
          <w:tab w:val="decimal" w:pos="1152"/>
        </w:tabs>
        <w:numPr>
          <w:ilvl w:val="0"/>
          <w:numId w:val="5"/>
        </w:numP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 garantia abrange o direito a que sejam corrigidos sem encargos para a entidade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adjudicante, por meio de correção de quaisquer defeitos ou discrepâncias com as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exigências legais e com características, especificações e requisitos definidos no âmbito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deste Caderno de Encargos, que se revelem a partir da respetiva aceitação do bem. Dadas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as características da solução a desenvolver no âmbito deste procedimento, em que a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estabilidade dos processos envolvidos em algumas funcionalidades dependem do tempo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de utilização do aplicativo, a garantia abrange também a possibilidade de otimização e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alguns processos;</w:t>
      </w:r>
    </w:p>
    <w:p>
      <w:pPr>
        <w:ind w:right="72" w:left="1152" w:firstLine="-360"/>
        <w:spacing w:before="180" w:after="0" w:line="320" w:lineRule="exact"/>
        <w:jc w:val="left"/>
        <w:tabs>
          <w:tab w:val="clear" w:pos="360"/>
          <w:tab w:val="decimal" w:pos="1152"/>
        </w:tabs>
        <w:numPr>
          <w:ilvl w:val="0"/>
          <w:numId w:val="5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prazo para correção ou substituição previsto na presente cláusula deve ter em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consideração a natureza e impacto da desconformidade;</w:t>
      </w:r>
    </w:p>
    <w:p>
      <w:pPr>
        <w:ind w:right="72" w:left="1152" w:firstLine="-360"/>
        <w:spacing w:before="216" w:after="0" w:line="349" w:lineRule="exact"/>
        <w:jc w:val="both"/>
        <w:tabs>
          <w:tab w:val="clear" w:pos="360"/>
          <w:tab w:val="decimal" w:pos="1152"/>
        </w:tabs>
        <w:numPr>
          <w:ilvl w:val="0"/>
          <w:numId w:val="5"/>
        </w:numP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O adjudicatário deve apresentar o custo do contrato de assistência técnica (manutenção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corretiva) previsto para o 1</w:t>
      </w:r>
      <w:r>
        <w:rPr>
          <w:color w:val="#000000"/>
          <w:sz w:val="19"/>
          <w:lang w:val="pt-PT"/>
          <w:spacing w:val="-11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 e 2</w:t>
      </w:r>
      <w:r>
        <w:rPr>
          <w:color w:val="#000000"/>
          <w:sz w:val="19"/>
          <w:lang w:val="pt-PT"/>
          <w:spacing w:val="-11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 ano após o términus da garantia bem como, o tipo de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serviço e horário de funcionamento.</w:t>
      </w:r>
    </w:p>
    <w:p>
      <w:pPr>
        <w:ind w:right="0" w:left="4176" w:firstLine="0"/>
        <w:spacing w:before="432" w:after="0" w:line="235" w:lineRule="exact"/>
        <w:jc w:val="left"/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Artigo 8</w:t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3384" w:firstLine="0"/>
        <w:spacing w:before="216" w:after="0" w:line="238" w:lineRule="exact"/>
        <w:jc w:val="left"/>
        <w:rPr>
          <w:b w:val="true"/>
          <w:color w:val="#000000"/>
          <w:sz w:val="19"/>
          <w:lang w:val="pt-PT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2"/>
          <w:w w:val="100"/>
          <w:strike w:val="false"/>
          <w:vertAlign w:val="baseline"/>
          <w:rFonts w:ascii="Arial" w:hAnsi="Arial"/>
        </w:rPr>
        <w:t xml:space="preserve">Saúde e Segurança no Trabalho</w:t>
      </w:r>
    </w:p>
    <w:p>
      <w:pPr>
        <w:ind w:right="72" w:left="1080" w:firstLine="-288"/>
        <w:spacing w:before="180" w:after="0" w:line="320" w:lineRule="exact"/>
        <w:jc w:val="left"/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1) O pessoal do adjudicatário deverá apresentar-se devidamente identificado (recolhendo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 seu cartão de identificação no Balcão das Visitas);</w:t>
      </w:r>
    </w:p>
    <w:p>
      <w:pPr>
        <w:ind w:right="72" w:left="0" w:firstLine="0"/>
        <w:spacing w:before="288" w:after="1800" w:line="168" w:lineRule="exact"/>
        <w:jc w:val="right"/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23 de 32</w:t>
      </w:r>
    </w:p>
    <w:p>
      <w:pPr>
        <w:ind w:right="0" w:left="216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75A59" from="26.7pt,0.25pt" to="437.3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ng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N.g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494" w:right="1403" w:left="1455" w:header="720" w:footer="720"/>
          <w:titlePg w:val="false"/>
        </w:sectPr>
      </w:pPr>
    </w:p>
    <w:p>
      <w:pPr>
        <w:ind w:right="0" w:left="0" w:firstLine="0"/>
        <w:spacing w:before="0" w:after="0" w:line="182" w:lineRule="auto"/>
        <w:jc w:val="left"/>
        <w:rPr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55pt" strokecolor="#000000" from="-5.75pt,1.75pt" to="-5.75pt,29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SPMS„,</w:t>
      </w:r>
    </w:p>
    <w:p>
      <w:pPr>
        <w:ind w:right="0" w:left="0" w:firstLine="0"/>
        <w:spacing w:before="0" w:after="0" w:line="273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224" w:firstLine="-360"/>
        <w:spacing w:before="756" w:after="0" w:line="240" w:lineRule="auto"/>
        <w:jc w:val="left"/>
        <w:tabs>
          <w:tab w:val="clear" w:pos="360"/>
          <w:tab w:val="decimal" w:pos="1224"/>
        </w:tabs>
        <w:numPr>
          <w:ilvl w:val="0"/>
          <w:numId w:val="6"/>
        </w:numP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  <w:t xml:space="preserve">O adjudicatário deverá apresentar a sua identificação sempre que solicitado;</w:t>
      </w:r>
    </w:p>
    <w:p>
      <w:pPr>
        <w:ind w:right="0" w:left="1224" w:firstLine="-360"/>
        <w:spacing w:before="288" w:after="0" w:line="420" w:lineRule="auto"/>
        <w:jc w:val="left"/>
        <w:tabs>
          <w:tab w:val="clear" w:pos="360"/>
          <w:tab w:val="decimal" w:pos="1224"/>
        </w:tabs>
        <w:numPr>
          <w:ilvl w:val="0"/>
          <w:numId w:val="6"/>
        </w:numP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O adjudicatário deverá evidenciar o cumprimento da Legislação de Segurança e Saúde </w:t>
      </w: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no Trabalho (Lei 7/2009 de 12 de fevereiro (Código do Trabalho) e Lei n</w:t>
      </w:r>
      <w:r>
        <w:rPr>
          <w:color w:val="#000000"/>
          <w:sz w:val="19"/>
          <w:lang w:val="pt-PT"/>
          <w:spacing w:val="1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 98/2009 de 4/9):</w:t>
      </w:r>
    </w:p>
    <w:p>
      <w:pPr>
        <w:ind w:right="0" w:left="1944" w:firstLine="-360"/>
        <w:spacing w:before="180" w:after="0" w:line="240" w:lineRule="auto"/>
        <w:jc w:val="left"/>
        <w:tabs>
          <w:tab w:val="clear" w:pos="360"/>
          <w:tab w:val="decimal" w:pos="1944"/>
        </w:tabs>
        <w:numPr>
          <w:ilvl w:val="0"/>
          <w:numId w:val="7"/>
        </w:numP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  <w:t xml:space="preserve">Avaliação de riscos afeta à atividade desenvolvida pelo adjudicatário;</w:t>
      </w:r>
    </w:p>
    <w:p>
      <w:pPr>
        <w:ind w:right="0" w:left="1944" w:firstLine="-360"/>
        <w:spacing w:before="252" w:after="0" w:line="427" w:lineRule="auto"/>
        <w:jc w:val="both"/>
        <w:tabs>
          <w:tab w:val="clear" w:pos="360"/>
          <w:tab w:val="decimal" w:pos="1944"/>
        </w:tabs>
        <w:numPr>
          <w:ilvl w:val="0"/>
          <w:numId w:val="7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Registos da vigilância da saúde dos profissionais afetos à ULSM, ao nível dos </w:t>
      </w: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exames definidos na legislação (exame de admissão, exame periódico e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ocasional);</w:t>
      </w:r>
    </w:p>
    <w:p>
      <w:pPr>
        <w:ind w:right="0" w:left="1944" w:firstLine="-360"/>
        <w:spacing w:before="180" w:after="0" w:line="422" w:lineRule="auto"/>
        <w:jc w:val="both"/>
        <w:tabs>
          <w:tab w:val="clear" w:pos="360"/>
          <w:tab w:val="decimal" w:pos="1944"/>
        </w:tabs>
        <w:numPr>
          <w:ilvl w:val="0"/>
          <w:numId w:val="7"/>
        </w:numP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Apólice de acidentes de trabalho, que deve cobrir situações de acidente com </w:t>
      </w: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corto-perfurantes e exposição a fluidos potencialmente infetados (risco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biológico) e procedimento aplicável aos funcionários do adjudicatário, Lei n</w:t>
      </w:r>
      <w:r>
        <w:rPr>
          <w:color w:val="#000000"/>
          <w:sz w:val="19"/>
          <w:lang w:val="pt-PT"/>
          <w:spacing w:val="4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 98/2009 de 4 de setembro;</w:t>
      </w:r>
    </w:p>
    <w:p>
      <w:pPr>
        <w:ind w:right="0" w:left="1944" w:firstLine="-360"/>
        <w:spacing w:before="180" w:after="0" w:line="427" w:lineRule="auto"/>
        <w:jc w:val="both"/>
        <w:tabs>
          <w:tab w:val="clear" w:pos="360"/>
          <w:tab w:val="decimal" w:pos="1944"/>
        </w:tabs>
        <w:numPr>
          <w:ilvl w:val="0"/>
          <w:numId w:val="7"/>
        </w:numP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Assegurar o cumprimento das regras internas de Segurança e Saúde no trabalho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em vigor na ULSM (as quais serão divulgadas aquando do início da prestação do serviço);</w:t>
      </w:r>
    </w:p>
    <w:p>
      <w:pPr>
        <w:ind w:right="0" w:left="1944" w:firstLine="-360"/>
        <w:spacing w:before="216" w:after="5940" w:line="422" w:lineRule="auto"/>
        <w:jc w:val="left"/>
        <w:tabs>
          <w:tab w:val="clear" w:pos="360"/>
          <w:tab w:val="decimal" w:pos="1944"/>
        </w:tabs>
        <w:numPr>
          <w:ilvl w:val="0"/>
          <w:numId w:val="7"/>
        </w:numP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No caso de trabalhadores imigrantes, fornecimento dos documentos relativos à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sua legalização em Portugal (autorização de permanência).</w:t>
      </w:r>
    </w:p>
    <w:p>
      <w:pPr>
        <w:ind w:right="36" w:left="0" w:firstLine="0"/>
        <w:spacing w:before="0" w:after="108" w:line="211" w:lineRule="auto"/>
        <w:jc w:val="right"/>
        <w:rPr>
          <w:color w:val="#000000"/>
          <w:sz w:val="14"/>
          <w:lang w:val="pt-PT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24 de 32</w:t>
      </w:r>
    </w:p>
    <w:p>
      <w:pPr>
        <w:ind w:right="432" w:left="1512" w:firstLine="-720"/>
        <w:spacing w:before="36" w:after="0" w:line="273" w:lineRule="auto"/>
        <w:jc w:val="left"/>
        <w:tabs>
          <w:tab w:val="right" w:leader="none" w:pos="7848"/>
        </w:tabs>
        <w:rPr>
          <w:color w:val="#000000"/>
          <w:sz w:val="12"/>
          <w:lang w:val="pt-PT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0.35pt" strokecolor="#000000" from="28.8pt,0.25pt" to="439.8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2"/>
          <w:w w:val="115"/>
          <w:strike w:val="false"/>
          <w:vertAlign w:val="superscript"/>
          <w:rFonts w:ascii="Arial" w:hAnsi="Arial"/>
        </w:rPr>
        <w:t xml:space="preserve">5</w:t>
      </w:r>
      <w:r>
        <w:rPr>
          <w:color w:val="#000000"/>
          <w:sz w:val="12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 61 1050489 Lisboa Tel.: 211 545 600 1 Fax: 211 545 649
</w:t>
        <w:br/>
      </w:r>
      <w:r>
        <w:rPr>
          <w:color w:val="#000000"/>
          <w:sz w:val="12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Capital Estatutário: 26.260.689,00 Euros	</w:t>
      </w:r>
      <w:r>
        <w:rPr>
          <w:color w:val="#000000"/>
          <w:sz w:val="12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510" w:top="494" w:right="1399" w:left="1459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0A1522" from="-5.8pt,2.3pt" to="-5.8pt,30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SPMS„,</w:t>
      </w:r>
    </w:p>
    <w:p>
      <w:pPr>
        <w:ind w:right="0" w:left="0" w:firstLine="0"/>
        <w:spacing w:before="0" w:after="0" w:line="273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4248" w:firstLine="0"/>
        <w:spacing w:before="792" w:after="0" w:line="204" w:lineRule="auto"/>
        <w:jc w:val="left"/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ANEXO II</w:t>
      </w:r>
    </w:p>
    <w:p>
      <w:pPr>
        <w:ind w:right="0" w:left="1800" w:firstLine="0"/>
        <w:spacing w:before="324" w:after="0" w:line="278" w:lineRule="auto"/>
        <w:jc w:val="left"/>
        <w:rPr>
          <w:b w:val="true"/>
          <w:color w:val="#000000"/>
          <w:sz w:val="19"/>
          <w:lang w:val="pt-PT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9"/>
          <w:w w:val="100"/>
          <w:strike w:val="false"/>
          <w:vertAlign w:val="baseline"/>
          <w:rFonts w:ascii="Arial" w:hAnsi="Arial"/>
        </w:rPr>
        <w:t xml:space="preserve">REQUISITOS TÉCNICOS — CARATERÍSTICAS E FUNCIONALIDADES</w:t>
      </w:r>
    </w:p>
    <w:p>
      <w:pPr>
        <w:ind w:right="0" w:left="720" w:firstLine="0"/>
        <w:spacing w:before="792" w:after="0" w:line="292" w:lineRule="auto"/>
        <w:jc w:val="left"/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I - INTRODUÇÃO</w:t>
      </w:r>
    </w:p>
    <w:p>
      <w:pPr>
        <w:ind w:right="72" w:left="720" w:firstLine="0"/>
        <w:spacing w:before="252" w:after="0" w:line="446" w:lineRule="auto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Sendo a notificação de suspeitas de Reações Adversas a Medicamentos um método eficiente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de geração de sinais de segurança e consequente avaliação da segurança dos medicamentos,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 ULSM pretende no âmbito deste procedimento maximizar este método.</w:t>
      </w:r>
    </w:p>
    <w:p>
      <w:pPr>
        <w:ind w:right="72" w:left="720" w:firstLine="0"/>
        <w:spacing w:before="216" w:after="0" w:line="446" w:lineRule="auto"/>
        <w:jc w:val="both"/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Apesar do sistema de notificação espontânea de RAM ter a enorme mais-valia da deteção </w:t>
      </w:r>
      <w:r>
        <w:rPr>
          <w:color w:val="#000000"/>
          <w:sz w:val="18"/>
          <w:lang w:val="pt-PT"/>
          <w:spacing w:val="3"/>
          <w:w w:val="100"/>
          <w:strike w:val="false"/>
          <w:vertAlign w:val="baseline"/>
          <w:rFonts w:ascii="Verdana" w:hAnsi="Verdana"/>
        </w:rPr>
        <w:t xml:space="preserve">precoce dos problemas de segurança dos medicamentos, sofre da grande limitação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decorrente da sub-notificação, que tem o potencial de prejudicar o utente por dificultar 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acompanhamento da RAM entre cuidados (hospitalar e primários), por permitir a reincidência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da RAM e/ou por eventual registo incompleto dos casos de alergia. Além do dano para o utente, o não registo dos casos de RAM também prejudica a instituição de saúde porque </w:t>
      </w:r>
      <w:r>
        <w:rPr>
          <w:color w:val="#000000"/>
          <w:sz w:val="18"/>
          <w:lang w:val="pt-PT"/>
          <w:spacing w:val="3"/>
          <w:w w:val="100"/>
          <w:strike w:val="false"/>
          <w:vertAlign w:val="baseline"/>
          <w:rFonts w:ascii="Verdana" w:hAnsi="Verdana"/>
        </w:rPr>
        <w:t xml:space="preserve">dificulta o controlo das RAM associadas a determinadas substâncias ativas, marcas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específicas, ou determinados lotes de medicamentos. Acresce que o ajuste na medicação, </w:t>
      </w: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sempre que ocorre uma suspeita de reação adversa ou ausência de eficácia, é uma atividade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complexa com muitas implicações quer para a saúde do utente quer a nível financeiro.</w:t>
      </w:r>
    </w:p>
    <w:p>
      <w:pPr>
        <w:ind w:right="72" w:left="720" w:firstLine="0"/>
        <w:spacing w:before="180" w:after="0" w:line="444" w:lineRule="auto"/>
        <w:jc w:val="both"/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No âmbito das RAM, as reações alérgicas a medicamentos afiguram-se como de particular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importância. Por um lado, a prescrição de medicamentos a doentes que são realmente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alérgicos aos mesmos poderá colocar em risco a saúde do doente. Por outro lado, doentes com falsos diagnósticos de alergia medicamentosa tendem a receber tratamentos menos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eficazes e mais caros. A existência de um registo sistemático de alergia a medicamentos,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associado a um sistema de apoio à decisão clínica, poderá ajudar a optar pelas opções </w:t>
      </w:r>
      <w:r>
        <w:rPr>
          <w:color w:val="#000000"/>
          <w:sz w:val="18"/>
          <w:lang w:val="pt-PT"/>
          <w:spacing w:val="10"/>
          <w:w w:val="100"/>
          <w:strike w:val="false"/>
          <w:vertAlign w:val="baseline"/>
          <w:rFonts w:ascii="Verdana" w:hAnsi="Verdana"/>
        </w:rPr>
        <w:t xml:space="preserve">diagnósticas e terapêuticas mais adequadas em doentes que reportam alergia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medicamentosa. Tal possibilitará não só assegurar um melhor tratamento a estes doentes,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mas também evitar as consequências negativas associadas ao uso de medicamentos de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segunda linha.</w:t>
      </w:r>
    </w:p>
    <w:p>
      <w:pPr>
        <w:ind w:right="0" w:left="648" w:firstLine="0"/>
        <w:spacing w:before="216" w:after="0" w:line="446" w:lineRule="auto"/>
        <w:jc w:val="center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Para combater o problema da fraca adesão dos profissionais de saúde à notificação das suas
</w:t>
        <w:br/>
      </w:r>
      <w: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  <w:t xml:space="preserve">suspeitas de reações adversas a medicamentos, os sistemas de farmacovigilância têm
</w:t>
        <w:br/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desenvolvido várias estratégias, devendo os sistemas de informação ser encarados como uma</w:t>
      </w:r>
    </w:p>
    <w:p>
      <w:pPr>
        <w:ind w:right="72" w:left="0" w:firstLine="0"/>
        <w:spacing w:before="396" w:after="0" w:line="211" w:lineRule="auto"/>
        <w:jc w:val="right"/>
        <w:rPr>
          <w:color w:val="#000000"/>
          <w:sz w:val="14"/>
          <w:lang w:val="pt-PT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8"/>
          <w:w w:val="100"/>
          <w:strike w:val="false"/>
          <w:vertAlign w:val="baseline"/>
          <w:rFonts w:ascii="Tahoma" w:hAnsi="Tahoma"/>
        </w:rPr>
        <w:t xml:space="preserve">25 de 32</w:t>
      </w:r>
    </w:p>
    <w:p>
      <w:pPr>
        <w:ind w:right="0" w:left="288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45655" from="27.15pt,0.25pt" to="438.1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n2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sectPr>
      <w:pgSz w:w="11918" w:h="16854" w:orient="portrait"/>
      <w:type w:val="nextPage"/>
      <w:textDirection w:val="lrTb"/>
      <w:pgMar w:bottom="490" w:top="494" w:right="1405" w:left="145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5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decimal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4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2"/>
        <w:w w:val="100"/>
        <w:strike w:val="false"/>
        <w:vertAlign w:val="baseline"/>
        <w:rFonts w:ascii="Verdana" w:hAnsi="Verdana"/>
      </w:rPr>
    </w:lvl>
  </w:abstractNum>
  <w:abstractNum w:abstractNumId="4">
    <w:lvl w:ilvl="0">
      <w:numFmt w:val="decimal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10"/>
        <w:w w:val="100"/>
        <w:strike w:val="false"/>
        <w:vertAlign w:val="baseline"/>
        <w:rFonts w:ascii="Verdana" w:hAnsi="Verdana"/>
      </w:rPr>
    </w:lvl>
  </w:abstractNum>
  <w:abstractNum w:abstractNumId="5">
    <w:lvl w:ilvl="0">
      <w:numFmt w:val="decimal"/>
      <w:lvlText w:val="%1)"/>
      <w:start w:val="2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9"/>
        <w:w w:val="100"/>
        <w:strike w:val="false"/>
        <w:vertAlign w:val="baseline"/>
        <w:rFonts w:ascii="Tahoma" w:hAnsi="Tahoma"/>
      </w:rPr>
    </w:lvl>
  </w:abstractNum>
  <w:abstractNum w:abstractNumId="6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9"/>
        <w:w w:val="100"/>
        <w:strike w:val="false"/>
        <w:vertAlign w:val="baseline"/>
        <w:rFonts w:ascii="Tahoma" w:hAnsi="Tahom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