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36" w:after="0" w:line="396" w:lineRule="exact"/>
        <w:jc w:val="left"/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</w:pPr>
      <w:r>
        <w:pict>
          <v:line strokeweight="0.55pt" strokecolor="#0F1A25" from="-7.75pt,1.45pt" to="-7.75pt,29.0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  <w:t xml:space="preserve">SPMS,„</w:t>
      </w:r>
    </w:p>
    <w:p>
      <w:pPr>
        <w:ind w:right="0" w:left="0" w:firstLine="0"/>
        <w:spacing w:before="0" w:after="0" w:line="261" w:lineRule="auto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72" w:left="648" w:firstLine="0"/>
        <w:spacing w:before="792" w:after="0" w:line="448" w:lineRule="auto"/>
        <w:jc w:val="left"/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oportunidade nesta área, uma vez que constituem uma presença central no quotidiano das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instituições de saúde.</w:t>
      </w:r>
    </w:p>
    <w:p>
      <w:pPr>
        <w:ind w:right="72" w:left="648" w:firstLine="0"/>
        <w:spacing w:before="180" w:after="0" w:line="446" w:lineRule="auto"/>
        <w:jc w:val="both"/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A Unidade Local de Saúde de Matosinhos (ULSM) já iniciou uma prova de conceito para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recolha de RAM e que dá confiança para avançar para um projeto em larga escala.</w:t>
      </w:r>
    </w:p>
    <w:p>
      <w:pPr>
        <w:ind w:right="72" w:left="648" w:firstLine="0"/>
        <w:spacing w:before="216" w:after="0" w:line="446" w:lineRule="auto"/>
        <w:jc w:val="both"/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Com este procedimento, além de evoluir o sistema atual de farmacovigilância através da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melhoria das atuais funcionalidades e interoperabilidade, a ULSM ambiciona, entre outros, a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análise e implementação do registo de novos dados e interfaces funcionais, dotar a aplicação </w:t>
      </w:r>
      <w: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de uma lista de fármacos atualizada e com uma solução capaz de fazer pesquisas em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bibliografia científica relevante sobre a lista de fármacos suspeitos, a implementação de </w:t>
      </w:r>
      <w: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componentes de Inteligência Artificial para apoio à decisão no domínio da avaliação de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reações alérgicas e/ou alergias reportadas a Beta-Lactâmicos e outras classes farmacológicas, </w:t>
      </w:r>
      <w: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a introdução de algoritmos suportados cientificamente para detetar potenciais reações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alérgicas a partir de reações notificadas e permitir a exploração de dados para fins de gestão </w:t>
      </w:r>
      <w: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e de investigação através da exportação de dados usando terminologias internacionais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sempre que estas existam.</w:t>
      </w:r>
    </w:p>
    <w:p>
      <w:pPr>
        <w:ind w:right="72" w:left="648" w:firstLine="0"/>
        <w:spacing w:before="180" w:after="0" w:line="446" w:lineRule="auto"/>
        <w:jc w:val="both"/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Assim, a evolução do sistema de informação atual de farmacovigilância para o novo sistema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de informação preconizado neste procedimento, representa uma oportunidade para a ULSM otimizar os processos internos relacionados com o medicamento e apoio à decisão clínica, </w:t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permitindo maximizar as potencialidades da notificação de suspeitas de Reações Adversas a Medicamentos enquanto método eficiente de geração de sinais de segurança e consequente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avaliação da segurança dos medicamentos.</w:t>
      </w:r>
    </w:p>
    <w:p>
      <w:pPr>
        <w:ind w:right="72" w:left="648" w:firstLine="0"/>
        <w:spacing w:before="252" w:after="0" w:line="444" w:lineRule="auto"/>
        <w:jc w:val="left"/>
        <w:rPr>
          <w:b w:val="true"/>
          <w:color w:val="#000000"/>
          <w:sz w:val="19"/>
          <w:lang w:val="pt-PT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-2"/>
          <w:w w:val="100"/>
          <w:strike w:val="false"/>
          <w:vertAlign w:val="baseline"/>
          <w:rFonts w:ascii="Arial" w:hAnsi="Arial"/>
        </w:rPr>
        <w:t xml:space="preserve">II - EVOLUÇÃO E NOVAS FUNCIONALIDADES A IMPLEMENTAR NO ATUAL SISTEMA DE </w:t>
      </w:r>
      <w:r>
        <w:rPr>
          <w:b w:val="true"/>
          <w:color w:val="#000000"/>
          <w:sz w:val="19"/>
          <w:lang w:val="pt-PT"/>
          <w:spacing w:val="-4"/>
          <w:w w:val="100"/>
          <w:strike w:val="false"/>
          <w:vertAlign w:val="baseline"/>
          <w:rFonts w:ascii="Arial" w:hAnsi="Arial"/>
        </w:rPr>
        <w:t xml:space="preserve">FARMACOVIGILÂNCIA DA ULSM</w:t>
      </w:r>
    </w:p>
    <w:p>
      <w:pPr>
        <w:ind w:right="72" w:left="648" w:firstLine="0"/>
        <w:spacing w:before="216" w:after="0" w:line="444" w:lineRule="auto"/>
        <w:jc w:val="both"/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O atual sistema de farmacovigilância que suporta a prova de conceito em produção da ULSM,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adiante designado por SIRAI, permite o registo eletrónico da notificação de RAM por parte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dos profissionais de saúde da ULSM e respetiva articulação automática com a Unidade de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Farmacovigilância do Porto para efeitos de comunicação ao INFARMED.</w:t>
      </w:r>
    </w:p>
    <w:p>
      <w:pPr>
        <w:ind w:right="72" w:left="0" w:firstLine="0"/>
        <w:spacing w:before="1440" w:after="108" w:line="211" w:lineRule="auto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26 </w:t>
      </w:r>
      <w:r>
        <w:rPr>
          <w:color w:val="#000000"/>
          <w:sz w:val="14"/>
          <w:lang w:val="pt-PT"/>
          <w:spacing w:val="0"/>
          <w:w w:val="115"/>
          <w:strike w:val="false"/>
          <w:vertAlign w:val="baseline"/>
          <w:rFonts w:ascii="Tahoma" w:hAnsi="Tahoma"/>
        </w:rPr>
        <w:t xml:space="preserve">de 32</w:t>
      </w:r>
    </w:p>
    <w:p>
      <w:pPr>
        <w:ind w:right="0" w:left="216" w:firstLine="0"/>
        <w:spacing w:before="0" w:after="0" w:line="240" w:lineRule="auto"/>
        <w:jc w:val="center"/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444544" from="25pt,0.25pt" to="243.95pt,0.2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494A4A" from="302.4pt,0.4pt" to="418.1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ne 61 1050-189 Lisboa Tel.: 211 545 600 </w:t>
      </w:r>
      <w:r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1 </w:t>
      </w:r>
      <w:r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Fax: 211 545 649
</w:t>
        <w:br/>
      </w:r>
      <w:r>
        <w:rPr>
          <w:color w:val="#000000"/>
          <w:sz w:val="11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Capital Estatutário: 26.260.689,00 Euros </w:t>
      </w:r>
      <w:r>
        <w:rPr>
          <w:color w:val="#000000"/>
          <w:sz w:val="15"/>
          <w:lang w:val="pt-PT"/>
          <w:spacing w:val="1"/>
          <w:w w:val="100"/>
          <w:strike w:val="false"/>
          <w:vertAlign w:val="baseline"/>
          <w:rFonts w:ascii="Arial" w:hAnsi="Arial"/>
        </w:rPr>
        <w:t xml:space="preserve">N. </w:t>
      </w:r>
      <w:r>
        <w:rPr>
          <w:color w:val="#000000"/>
          <w:sz w:val="11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90" w:top="514" w:right="1363" w:left="1495" w:header="720" w:footer="720"/>
          <w:titlePg w:val="false"/>
        </w:sectPr>
      </w:pPr>
    </w:p>
    <w:p>
      <w:pPr>
        <w:ind w:right="0" w:left="0" w:firstLine="0"/>
        <w:spacing w:before="0" w:after="0" w:line="184" w:lineRule="auto"/>
        <w:jc w:val="left"/>
        <w:rPr>
          <w:b w:val="true"/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</w:pPr>
      <w:r>
        <w:pict>
          <v:line strokeweight="0.7pt" strokecolor="#121521" from="-7.55pt,1.9pt" to="-7.55pt,29.8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  <w:t xml:space="preserve">SPMS„,</w:t>
      </w:r>
    </w:p>
    <w:p>
      <w:pPr>
        <w:ind w:right="0" w:left="0" w:firstLine="0"/>
        <w:spacing w:before="0" w:after="1260" w:line="240" w:lineRule="auto"/>
        <w:jc w:val="left"/>
        <w:rPr>
          <w:color w:val="#000000"/>
          <w:sz w:val="14"/>
          <w:lang w:val="pt-PT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4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sectPr>
          <w:pgSz w:w="11918" w:h="16854" w:orient="portrait"/>
          <w:type w:val="nextPage"/>
          <w:textDirection w:val="lrTb"/>
          <w:pgMar w:bottom="510" w:top="494" w:right="7843" w:left="1495" w:header="720" w:footer="720"/>
          <w:titlePg w:val="false"/>
        </w:sectPr>
      </w:pPr>
    </w:p>
    <w:p>
      <w:pPr>
        <w:ind w:right="0" w:left="0" w:firstLine="0"/>
        <w:spacing w:before="0" w:after="612" w:line="268" w:lineRule="auto"/>
        <w:jc w:val="center"/>
        <w:rPr>
          <w:b w:val="true"/>
          <w:color w:val="#0A3866"/>
          <w:sz w:val="15"/>
          <w:lang w:val="pt-PT"/>
          <w:spacing w:val="-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A3866"/>
          <w:sz w:val="15"/>
          <w:lang w:val="pt-PT"/>
          <w:spacing w:val="-5"/>
          <w:w w:val="100"/>
          <w:strike w:val="false"/>
          <w:vertAlign w:val="baseline"/>
          <w:rFonts w:ascii="Tahoma" w:hAnsi="Tahoma"/>
        </w:rPr>
        <w:t xml:space="preserve">Circuito de notificação de RAM e </w:t>
      </w:r>
      <w:r>
        <w:rPr>
          <w:b w:val="true"/>
          <w:color w:val="#0A3866"/>
          <w:sz w:val="15"/>
          <w:lang w:val="pt-PT"/>
          <w:spacing w:val="-5"/>
          <w:w w:val="100"/>
          <w:strike w:val="false"/>
          <w:vertAlign w:val="baseline"/>
          <w:rFonts w:ascii="Arial" w:hAnsi="Arial"/>
        </w:rPr>
        <w:t xml:space="preserve">vai idaç3o de Reações Alérgicas
</w:t>
        <w:br/>
      </w:r>
      <w:r>
        <w:rPr>
          <w:b w:val="true"/>
          <w:color w:val="#0A3866"/>
          <w:sz w:val="15"/>
          <w:lang w:val="pt-PT"/>
          <w:spacing w:val="-2"/>
          <w:w w:val="100"/>
          <w:strike w:val="false"/>
          <w:vertAlign w:val="baseline"/>
          <w:rFonts w:ascii="Arial" w:hAnsi="Arial"/>
        </w:rPr>
        <w:t xml:space="preserve">Gestão das tabelas de verdade de RAM e de Alergias</w:t>
      </w:r>
    </w:p>
    <w:p>
      <w:pPr>
        <w:sectPr>
          <w:pgSz w:w="11918" w:h="16854" w:orient="portrait"/>
          <w:type w:val="continuous"/>
          <w:textDirection w:val="lrTb"/>
          <w:pgMar w:bottom="510" w:top="494" w:right="3243" w:left="4155" w:header="720" w:footer="720"/>
          <w:titlePg w:val="false"/>
        </w:sectPr>
      </w:pPr>
    </w:p>
    <w:p>
      <w:pPr>
        <w:ind w:right="0" w:left="0" w:firstLine="0"/>
        <w:spacing w:before="1364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21pt;height:49.5pt;z-index:-1000;margin-left:25.4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10.1pt;height:48.6pt;z-index:-999;margin-left:92.5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938270" cy="61722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38270" cy="617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FFFFFF" stroked="f" style="position:absolute;width:168.1pt;height:23.6pt;z-index:-998;margin-left:229.15pt;margin-top:14.2pt;mso-wrap-distance-left:0pt;mso-wrap-distance-right:0pt"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792"/>
                    <w:gridCol w:w="209"/>
                    <w:gridCol w:w="345"/>
                    <w:gridCol w:w="897"/>
                    <w:gridCol w:w="302"/>
                    <w:gridCol w:w="817"/>
                  </w:tblGrid>
                  <w:tr>
                    <w:trPr>
                      <w:trHeight w:val="47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92" w:type="auto"/>
                        <w:textDirection w:val="lrTb"/>
                        <w:vAlign w:val="top"/>
                      </w:tcPr>
                      <w:p>
                        <w:pPr>
                          <w:ind w:right="148" w:left="0" w:firstLine="0"/>
                          <w:spacing w:before="72" w:after="0" w:line="360" w:lineRule="auto"/>
                          <w:jc w:val="right"/>
                          <w:rPr>
                            <w:b w:val="true"/>
                            <w:color w:val="#27A0CF"/>
                            <w:sz w:val="7"/>
                            <w:lang w:val="pt-PT"/>
                            <w:spacing w:val="1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27A0CF"/>
                            <w:sz w:val="7"/>
                            <w:lang w:val="pt-PT"/>
                            <w:spacing w:val="1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tr"Ila</w:t>
                        </w:r>
                      </w:p>
                      <w:p>
                        <w:pPr>
                          <w:ind w:right="148" w:left="0" w:firstLine="0"/>
                          <w:spacing w:before="36" w:after="0" w:line="211" w:lineRule="auto"/>
                          <w:jc w:val="right"/>
                          <w:rPr>
                            <w:b w:val="true"/>
                            <w:color w:val="#27A0CF"/>
                            <w:sz w:val="12"/>
                            <w:lang w:val="pt-PT"/>
                            <w:spacing w:val="-10"/>
                            <w:w w:val="13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27A0CF"/>
                            <w:sz w:val="12"/>
                            <w:lang w:val="pt-PT"/>
                            <w:spacing w:val="-10"/>
                            <w:w w:val="13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thix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0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72" w:after="0" w:line="240" w:lineRule="auto"/>
                          <w:jc w:val="center"/>
                          <w:rPr>
                            <w:b w:val="true"/>
                            <w:color w:val="#27A0CF"/>
                            <w:sz w:val="7"/>
                            <w:lang w:val="pt-PT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27A0CF"/>
                            <w:sz w:val="7"/>
                            <w:lang w:val="pt-PT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•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5" w:color="#000000"/>
                        </w:tcBorders>
                        <w:tcW w:w="1346" w:type="auto"/>
                        <w:textDirection w:val="lrTb"/>
                        <w:vAlign w:val="top"/>
                      </w:tcPr>
                      <w:p>
                        <w:pPr>
                          <w:ind w:right="155" w:left="0" w:firstLine="0"/>
                          <w:spacing w:before="0" w:after="0" w:line="204" w:lineRule="auto"/>
                          <w:jc w:val="right"/>
                          <w:rPr>
                            <w:b w:val="true"/>
                            <w:color w:val="#000000"/>
                            <w:sz w:val="11"/>
                            <w:lang w:val="pt-PT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pt-PT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ha*</w:t>
                        </w:r>
                      </w:p>
                      <w:p>
                        <w:pPr>
                          <w:ind w:right="155" w:left="0" w:firstLine="0"/>
                          <w:spacing w:before="72" w:after="0" w:line="201" w:lineRule="auto"/>
                          <w:jc w:val="right"/>
                          <w:rPr>
                            <w:b w:val="true"/>
                            <w:color w:val="#0687C9"/>
                            <w:sz w:val="8"/>
                            <w:lang w:val="pt-PT"/>
                            <w:spacing w:val="0"/>
                            <w:w w:val="12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687C9"/>
                            <w:sz w:val="8"/>
                            <w:lang w:val="pt-PT"/>
                            <w:spacing w:val="0"/>
                            <w:w w:val="12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5" w:color="#000000"/>
                          <w:right w:val="single" w:sz="5" w:color="#000000"/>
                        </w:tcBorders>
                        <w:tcW w:w="2243" w:type="auto"/>
                        <w:textDirection w:val="lrTb"/>
                        <w:vAlign w:val="top"/>
                        <w:shd w:val="clear" w:color="#D9E1E6" w:fill="#D9E1E6"/>
                      </w:tcPr>
                      <w:p>
                        <w:pPr>
                          <w:ind w:right="144" w:left="108" w:firstLine="432"/>
                          <w:spacing w:before="72" w:after="0" w:line="240" w:lineRule="auto"/>
                          <w:jc w:val="both"/>
                          <w:rPr>
                            <w:b w:val="true"/>
                            <w:color w:val="#27A0CF"/>
                            <w:sz w:val="11"/>
                            <w:lang w:val="pt-PT"/>
                            <w:spacing w:val="-2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27A0CF"/>
                            <w:sz w:val="11"/>
                            <w:lang w:val="pt-PT"/>
                            <w:spacing w:val="-2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PAMI </w:t>
                        </w:r>
                        <w:r>
                          <w:rPr>
                            <w:b w:val="true"/>
                            <w:color w:val="#27A0CF"/>
                            <w:sz w:val="11"/>
                            <w:lang w:val="pt-PT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parà dita </w:t>
                        </w:r>
                        <w:r>
                          <w:rPr>
                            <w:b w:val="true"/>
                            <w:color w:val="#27A0CF"/>
                            <w:sz w:val="9"/>
                            <w:lang w:val="pt-PT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49 </w:t>
                        </w:r>
                        <w:r>
                          <w:rPr>
                            <w:b w:val="true"/>
                            <w:color w:val="#27A0CF"/>
                            <w:sz w:val="11"/>
                            <w:lang w:val="pt-PT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nittkaills </w:t>
                        </w:r>
                        <w:r>
                          <w:rPr>
                            <w:b w:val="true"/>
                            <w:color w:val="#27A0CF"/>
                            <w:sz w:val="9"/>
                            <w:lang w:val="pt-PT"/>
                            <w:spacing w:val="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to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5" w:color="#000000"/>
                          <w:right w:val="single" w:sz="5" w:color="#000000"/>
                        </w:tcBorders>
                        <w:tcW w:w="2545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5" w:color="#000000"/>
                          <w:right w:val="none" w:sz="0" w:color="#000000"/>
                        </w:tcBorders>
                        <w:tcW w:w="3362" w:type="auto"/>
                        <w:textDirection w:val="lrTb"/>
                        <w:vAlign w:val="center"/>
                        <w:shd w:val="clear" w:color="#D9E1E6" w:fill="#D9E1E6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i w:val="true"/>
                            <w:color w:val="#27A0CF"/>
                            <w:sz w:val="13"/>
                            <w:lang w:val="pt-PT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i w:val="true"/>
                            <w:color w:val="#27A0CF"/>
                            <w:sz w:val="13"/>
                            <w:lang w:val="pt-PT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«MAM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DCE1E1" stroked="f" style="position:absolute;width:24.85pt;height:4.35pt;z-index:-997;margin-left:306.55pt;margin-top:38.8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82" w:lineRule="exact"/>
                    <w:jc w:val="left"/>
                    <w:shd w:val="solid" w:color="#DCE1E1" w:fill="#DCE1E1"/>
                    <w:framePr w:hAnchor="text" w:vAnchor="text" w:x="6131" w:y="777" w:w="497" w:h="87" w:hSpace="0" w:vSpace="0" w:wrap="none"/>
                    <w:rPr>
                      <w:b w:val="true"/>
                      <w:color w:val="#27A0CF"/>
                      <w:sz w:val="11"/>
                      <w:lang w:val="pt-PT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27A0CF"/>
                      <w:sz w:val="11"/>
                      <w:lang w:val="pt-PT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 MMVCO</w:t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510" w:top="494" w:right="1435" w:left="1495" w:header="720" w:footer="720"/>
          <w:titlePg w:val="false"/>
        </w:sectPr>
      </w:pPr>
    </w:p>
    <w:p>
      <w:pPr>
        <w:ind w:right="3449" w:left="4104"/>
        <w:spacing w:before="0" w:after="324" w:line="240" w:lineRule="auto"/>
        <w:jc w:val="left"/>
      </w:pPr>
      <w:r>
        <w:drawing>
          <wp:inline>
            <wp:extent cx="537210" cy="429895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5112" w:firstLine="0"/>
        <w:spacing w:before="0" w:after="72" w:line="216" w:lineRule="auto"/>
        <w:jc w:val="left"/>
        <w:rPr>
          <w:color w:val="#0687C9"/>
          <w:sz w:val="15"/>
          <w:lang w:val="pt-PT"/>
          <w:spacing w:val="0"/>
          <w:w w:val="140"/>
          <w:strike w:val="false"/>
          <w:vertAlign w:val="baseline"/>
          <w:rFonts w:ascii="Arial" w:hAnsi="Arial"/>
        </w:rPr>
      </w:pPr>
      <w:r>
        <w:rPr>
          <w:color w:val="#0687C9"/>
          <w:sz w:val="15"/>
          <w:lang w:val="pt-PT"/>
          <w:spacing w:val="0"/>
          <w:w w:val="140"/>
          <w:strike w:val="false"/>
          <w:vertAlign w:val="baseline"/>
          <w:rFonts w:ascii="Arial" w:hAnsi="Arial"/>
        </w:rPr>
        <w:t xml:space="preserve">•</w:t>
      </w:r>
    </w:p>
    <w:p>
      <w:pPr>
        <w:ind w:right="0" w:left="1080" w:firstLine="0"/>
        <w:spacing w:before="0" w:after="0" w:line="199" w:lineRule="exact"/>
        <w:jc w:val="left"/>
        <w:rPr>
          <w:b w:val="true"/>
          <w:color w:val="#0A3866"/>
          <w:sz w:val="15"/>
          <w:lang w:val="pt-PT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A3866"/>
          <w:sz w:val="15"/>
          <w:lang w:val="pt-PT"/>
          <w:spacing w:val="-6"/>
          <w:w w:val="100"/>
          <w:strike w:val="false"/>
          <w:vertAlign w:val="baseline"/>
          <w:rFonts w:ascii="Arial" w:hAnsi="Arial"/>
        </w:rPr>
        <w:t xml:space="preserve">A tracejado</w:t>
      </w:r>
      <w:r>
        <w:rPr>
          <w:b w:val="true"/>
          <w:color w:val="#205785"/>
          <w:sz w:val="15"/>
          <w:lang w:val="pt-PT"/>
          <w:spacing w:val="-6"/>
          <w:w w:val="100"/>
          <w:strike w:val="false"/>
          <w:vertAlign w:val="baseline"/>
          <w:rFonts w:ascii="Tahoma" w:hAnsi="Tahoma"/>
        </w:rPr>
        <w:t xml:space="preserve"> está representada a nova área a introduzir neste fluxo (validação de reações alérgicas).</w:t>
      </w:r>
    </w:p>
    <w:p>
      <w:pPr>
        <w:ind w:right="0" w:left="144" w:firstLine="0"/>
        <w:spacing w:before="396" w:after="0" w:line="345" w:lineRule="exact"/>
        <w:jc w:val="both"/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 evolução do SIRAI que se pretende no âmbito deste procedimento e que dará origem ao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novo sistema designado por SI.RAM, deve ocorrer em conformidade com os seguintes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objetivos:</w:t>
      </w:r>
    </w:p>
    <w:p>
      <w:pPr>
        <w:ind w:right="0" w:left="936" w:firstLine="-360"/>
        <w:spacing w:before="180" w:after="0" w:line="319" w:lineRule="exact"/>
        <w:jc w:val="left"/>
        <w:tabs>
          <w:tab w:val="clear" w:pos="360"/>
          <w:tab w:val="decimal" w:pos="936"/>
        </w:tabs>
        <w:numPr>
          <w:ilvl w:val="0"/>
          <w:numId w:val="2"/>
        </w:numP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Introdução de algoritmos suportados cientificamente para detetar potenciais reações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alérgicas e respetiva articulação com a especialidade de Imunoalergologia;</w:t>
      </w:r>
    </w:p>
    <w:p>
      <w:pPr>
        <w:ind w:right="0" w:left="936" w:firstLine="-360"/>
        <w:spacing w:before="216" w:after="0" w:line="375" w:lineRule="exact"/>
        <w:jc w:val="both"/>
        <w:tabs>
          <w:tab w:val="clear" w:pos="360"/>
          <w:tab w:val="decimal" w:pos="936"/>
        </w:tabs>
        <w:numPr>
          <w:ilvl w:val="0"/>
          <w:numId w:val="2"/>
        </w:numP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Implementação de componentes de Inteligência Artificial no âmbito do apoio à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imputação de causalidade das suspeitas de reações adversas e à decisão do domínio </w:t>
      </w:r>
      <w:r>
        <w:rPr>
          <w:color w:val="#000000"/>
          <w:sz w:val="18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da avaliação de reações alérgicas e/ou alergias reportadas a Beta-Lactâmicos e outras </w:t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classes farmacológicas (em sede de candidatura devem ser apresentados os modelos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que suportam cada uma das componentes de Inteligência Artificial bem como a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evidência científica que os suporta);</w:t>
      </w:r>
    </w:p>
    <w:p>
      <w:pPr>
        <w:ind w:right="0" w:left="936" w:firstLine="-360"/>
        <w:spacing w:before="180" w:after="0" w:line="361" w:lineRule="exact"/>
        <w:jc w:val="both"/>
        <w:tabs>
          <w:tab w:val="clear" w:pos="360"/>
          <w:tab w:val="decimal" w:pos="936"/>
        </w:tabs>
        <w:numPr>
          <w:ilvl w:val="0"/>
          <w:numId w:val="2"/>
        </w:numP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Evolução da tabela de fármacos de modo a garantir a atualização periódica da lista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de fármacos possíveis de prescrever em contexto hospitalar e ter solução capaz de fazer pesquisas em bibliografia científica relevante sobre uma lista de fármacos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suspeitos;</w:t>
      </w:r>
    </w:p>
    <w:p>
      <w:pPr>
        <w:ind w:right="0" w:left="936" w:firstLine="-360"/>
        <w:spacing w:before="180" w:after="0" w:line="360" w:lineRule="exact"/>
        <w:jc w:val="both"/>
        <w:tabs>
          <w:tab w:val="clear" w:pos="360"/>
          <w:tab w:val="decimal" w:pos="936"/>
        </w:tabs>
        <w:numPr>
          <w:ilvl w:val="0"/>
          <w:numId w:val="2"/>
        </w:numP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Criação, manutenção e gestão de duas tabelas de verdade na ULSM, a tabela de </w:t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Reações Adversas a Medicamentos (RAM) e a tabela de Alergias (Alergias) com as </w:t>
      </w:r>
      <w:r>
        <w:rPr>
          <w:color w:val="#000000"/>
          <w:sz w:val="18"/>
          <w:lang w:val="pt-PT"/>
          <w:spacing w:val="4"/>
          <w:w w:val="100"/>
          <w:strike w:val="false"/>
          <w:vertAlign w:val="baseline"/>
          <w:rFonts w:ascii="Verdana" w:hAnsi="Verdana"/>
        </w:rPr>
        <w:t xml:space="preserve">situações alérgicas que forem validadas/confirmadas pela especialidade de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Imunoalergologia (colocar selo de qualidade no registo destas alergias);</w:t>
      </w:r>
    </w:p>
    <w:p>
      <w:pPr>
        <w:ind w:right="0" w:left="0" w:firstLine="0"/>
        <w:spacing w:before="72" w:after="648" w:line="175" w:lineRule="exact"/>
        <w:jc w:val="right"/>
        <w:rPr>
          <w:color w:val="#000000"/>
          <w:sz w:val="14"/>
          <w:lang w:val="pt-PT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8"/>
          <w:w w:val="100"/>
          <w:strike w:val="false"/>
          <w:vertAlign w:val="baseline"/>
          <w:rFonts w:ascii="Tahoma" w:hAnsi="Tahoma"/>
        </w:rPr>
        <w:t xml:space="preserve">27 de 32</w:t>
      </w:r>
    </w:p>
    <w:p>
      <w:pPr>
        <w:ind w:right="0" w:left="0" w:firstLine="0"/>
        <w:spacing w:before="36" w:after="0" w:line="300" w:lineRule="auto"/>
        <w:jc w:val="center"/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404141" from="0pt,0.25pt" to="184.15pt,0.2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4E4F4F" from="224.25pt,0.45pt" to="314.15pt,0.4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434645" from="338.75pt,0.45pt" to="361.1pt,0.4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494D4C" from="375.1pt,0.45pt" to="396.75pt,0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SPMS —Serviços Partilhados do Ministério da Saúde, E.P.E. Av. da República, n</w:t>
      </w:r>
      <w:r>
        <w:rPr>
          <w:color w:val="#000000"/>
          <w:sz w:val="11"/>
          <w:lang w:val="pt-PT"/>
          <w:spacing w:val="0"/>
          <w:w w:val="11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 61 1050489 Lisboa Tel.: 211 545 600 1 Fax: 211 545 649
</w:t>
        <w:br/>
      </w:r>
      <w:r>
        <w:rPr>
          <w:color w:val="#000000"/>
          <w:sz w:val="11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p>
      <w:pPr>
        <w:sectPr>
          <w:pgSz w:w="11918" w:h="16854" w:orient="portrait"/>
          <w:type w:val="continuous"/>
          <w:textDirection w:val="lrTb"/>
          <w:pgMar w:bottom="510" w:top="494" w:right="1435" w:left="2003" w:header="720" w:footer="720"/>
          <w:titlePg w:val="false"/>
        </w:sectPr>
      </w:pPr>
    </w:p>
    <w:p>
      <w:pPr>
        <w:ind w:right="0" w:left="0" w:firstLine="0"/>
        <w:spacing w:before="0" w:after="0" w:line="182" w:lineRule="auto"/>
        <w:jc w:val="left"/>
        <w:rPr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</w:pPr>
      <w:r>
        <w:pict>
          <v:line strokeweight="0.55pt" strokecolor="#000000" from="-6.3pt,1.8pt" to="-6.3pt,29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  <w:t xml:space="preserve">SPMS.</w:t>
      </w:r>
    </w:p>
    <w:p>
      <w:pPr>
        <w:ind w:right="0" w:left="0" w:firstLine="0"/>
        <w:spacing w:before="0" w:after="0" w:line="195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1512" w:firstLine="-360"/>
        <w:spacing w:before="468" w:after="0" w:line="352" w:lineRule="exact"/>
        <w:jc w:val="both"/>
        <w:tabs>
          <w:tab w:val="clear" w:pos="360"/>
          <w:tab w:val="decimal" w:pos="1512"/>
        </w:tabs>
        <w:numPr>
          <w:ilvl w:val="0"/>
          <w:numId w:val="3"/>
        </w:numP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Integração da tabela de Alergias com os sistemas locais pré-existentes da ULSM as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integrações a desenvolver no âmbito deste projeto devem recorrer sempre que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possível a standards, preferencialmente, HL7 ou Web Services;</w:t>
      </w:r>
    </w:p>
    <w:p>
      <w:pPr>
        <w:ind w:right="0" w:left="1512" w:firstLine="-360"/>
        <w:spacing w:before="180" w:after="0" w:line="329" w:lineRule="exact"/>
        <w:jc w:val="both"/>
        <w:tabs>
          <w:tab w:val="clear" w:pos="360"/>
          <w:tab w:val="decimal" w:pos="1512"/>
        </w:tabs>
        <w:numPr>
          <w:ilvl w:val="0"/>
          <w:numId w:val="3"/>
        </w:numP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  <w:t xml:space="preserve">Capacidade de exploração de dados para fins de gestão e de investigação através da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exportação de dados usando terminologias internacionais sempre que estas existam;</w:t>
      </w:r>
    </w:p>
    <w:p>
      <w:pPr>
        <w:ind w:right="0" w:left="1512" w:firstLine="-360"/>
        <w:spacing w:before="216" w:after="0" w:line="251" w:lineRule="exact"/>
        <w:jc w:val="both"/>
        <w:tabs>
          <w:tab w:val="clear" w:pos="360"/>
          <w:tab w:val="decimal" w:pos="1512"/>
        </w:tabs>
        <w:numPr>
          <w:ilvl w:val="0"/>
          <w:numId w:val="3"/>
        </w:numP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Construção de dashboards à medida para apoio à gestão e decisão clínica;</w:t>
      </w:r>
    </w:p>
    <w:p>
      <w:pPr>
        <w:ind w:right="0" w:left="1512" w:firstLine="-360"/>
        <w:spacing w:before="180" w:after="0" w:line="394" w:lineRule="exact"/>
        <w:jc w:val="both"/>
        <w:tabs>
          <w:tab w:val="clear" w:pos="360"/>
          <w:tab w:val="decimal" w:pos="1512"/>
        </w:tabs>
        <w:numPr>
          <w:ilvl w:val="0"/>
          <w:numId w:val="3"/>
        </w:numP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O adjudicatário deve estar habilitado em termos de profissionais diferenciados, </w:t>
      </w: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nomeadamente na área da farmacovigilância e reações alérgicas (obrigatoriedade). </w:t>
      </w: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Sendo a notificação de suspeitas de Reações Adversas a Medicamentos um método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eficiente de geração de sinais de segurança e consequente avaliação da segurança </w:t>
      </w: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dos medicamentos, a ULSM pretende no âmbito deste procedimento maximizar este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método e otimizar os processos internos relacionados com o medicamento. Em fase de execução deste projeto, para além do desenvolvimento e implementação das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funcionalidades identificadas neste documento, a ULSM pretende que o adjudicatário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esteja habilitado a efetuar o detalhe da especificação de todas as funcionalidades </w:t>
      </w:r>
      <w:r>
        <w:rPr>
          <w:color w:val="#000000"/>
          <w:sz w:val="19"/>
          <w:lang w:val="pt-PT"/>
          <w:spacing w:val="-13"/>
          <w:w w:val="100"/>
          <w:strike w:val="false"/>
          <w:vertAlign w:val="baseline"/>
          <w:rFonts w:ascii="Verdana" w:hAnsi="Verdana"/>
        </w:rPr>
        <w:t xml:space="preserve">identificadas neste documento, bem como de outras funcionalidades que venham ser </w:t>
      </w:r>
      <w:r>
        <w:rPr>
          <w:color w:val="#000000"/>
          <w:sz w:val="19"/>
          <w:lang w:val="pt-PT"/>
          <w:spacing w:val="16"/>
          <w:w w:val="100"/>
          <w:strike w:val="false"/>
          <w:vertAlign w:val="baseline"/>
          <w:rFonts w:ascii="Verdana" w:hAnsi="Verdana"/>
        </w:rPr>
        <w:t xml:space="preserve">consideradas necessárias pela equipa de projeto da ULSM e cuja </w:t>
      </w: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especificação/implementação se enquadre no âmbito dos objetivos das alíneas </w:t>
      </w:r>
      <w:r>
        <w:rPr>
          <w:color w:val="#000000"/>
          <w:sz w:val="19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anteriores (a documentação desta especificação é um dos entregáveis deste </w:t>
      </w:r>
      <w: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  <w:t xml:space="preserve">procedimento) - esta especificação terá sempre como foco principal a otimização dos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processos internos relacionados com o medicamento e apoio à decisão clínica.</w:t>
      </w:r>
    </w:p>
    <w:p>
      <w:pPr>
        <w:ind w:right="0" w:left="720" w:firstLine="0"/>
        <w:spacing w:before="180" w:after="0" w:line="327" w:lineRule="exact"/>
        <w:jc w:val="both"/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Segue-se uma breve caraterização das funcionalidades que se pretendem implementar sobre </w:t>
      </w: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o SIRAI no âmbito deste procedimento (dando origem ao SI.RAM):</w:t>
      </w:r>
    </w:p>
    <w:p>
      <w:pPr>
        <w:ind w:right="0" w:left="1440" w:firstLine="-360"/>
        <w:spacing w:before="180" w:after="0" w:line="366" w:lineRule="exact"/>
        <w:jc w:val="both"/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1) Implementar algoritmo que permita avaliar se (i) uma determinada reação aguda a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medicamentos, ou (ii) uma história de alergia medicamentosa reportada pelo doente, </w:t>
      </w:r>
      <w:r>
        <w:rPr>
          <w:color w:val="#000000"/>
          <w:sz w:val="19"/>
          <w:lang w:val="pt-PT"/>
          <w:spacing w:val="-13"/>
          <w:w w:val="100"/>
          <w:strike w:val="false"/>
          <w:vertAlign w:val="baseline"/>
          <w:rFonts w:ascii="Verdana" w:hAnsi="Verdana"/>
        </w:rPr>
        <w:t xml:space="preserve">é sugestiva de ser uma verdadeira reação alérgica, uma vez que estas últimas no limite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podem colocar a vida do doente em risco se este for re-exposto ao mesmo fármaco.</w:t>
      </w:r>
    </w:p>
    <w:p>
      <w:pPr>
        <w:ind w:right="0" w:left="2160" w:firstLine="-360"/>
        <w:spacing w:before="180" w:after="0" w:line="368" w:lineRule="exact"/>
        <w:jc w:val="both"/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a) Este algoritmo envolverá o desenvolvimento de um formulário, que deverá </w:t>
      </w: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ter por base questionários disponíveis na literatura científica (e validados), no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qual o clínico deverá introduzir informação essencial relativamente à reação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presenciada/reportada;</w:t>
      </w:r>
    </w:p>
    <w:p>
      <w:pPr>
        <w:ind w:right="36" w:left="0" w:firstLine="0"/>
        <w:spacing w:before="216" w:after="936" w:line="175" w:lineRule="exact"/>
        <w:jc w:val="right"/>
        <w:rPr>
          <w:color w:val="#000000"/>
          <w:sz w:val="14"/>
          <w:lang w:val="pt-PT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8"/>
          <w:w w:val="100"/>
          <w:strike w:val="false"/>
          <w:vertAlign w:val="baseline"/>
          <w:rFonts w:ascii="Tahoma" w:hAnsi="Tahoma"/>
        </w:rPr>
        <w:t xml:space="preserve">28 de 32</w:t>
      </w:r>
    </w:p>
    <w:p>
      <w:pPr>
        <w:ind w:right="0" w:left="288" w:firstLine="0"/>
        <w:spacing w:before="36" w:after="0" w:line="273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2pt" strokecolor="#000000" from="28.8pt,0.15pt" to="439.4pt,0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</w:t>
      </w:r>
      <w:r>
        <w:rPr>
          <w:color w:val="#000000"/>
          <w:sz w:val="12"/>
          <w:lang w:val="pt-PT"/>
          <w:spacing w:val="-5"/>
          <w:w w:val="110"/>
          <w:strike w:val="false"/>
          <w:vertAlign w:val="superscript"/>
          <w:rFonts w:ascii="Arial" w:hAnsi="Arial"/>
        </w:rPr>
        <w:t xml:space="preserve">5</w: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61 1050-189 Lisboa Tel.: 211 545 600 1 Fax: 211 545 649
</w:t>
        <w:br/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Capital Estatutário: 26.260.689,00 Euros </w:t>
      </w:r>
      <w:r>
        <w:rPr>
          <w:color w:val="#000000"/>
          <w:sz w:val="12"/>
          <w:lang w:val="pt-PT"/>
          <w:spacing w:val="-4"/>
          <w:w w:val="100"/>
          <w:strike w:val="false"/>
          <w:vertAlign w:val="superscript"/>
          <w:rFonts w:ascii="Arial" w:hAnsi="Arial"/>
        </w:rPr>
        <w:t xml:space="preserve">N.</w:t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90" w:top="514" w:right="1399" w:left="1459" w:header="720" w:footer="720"/>
          <w:titlePg w:val="false"/>
        </w:sectPr>
      </w:pPr>
    </w:p>
    <w:p>
      <w:pPr>
        <w:ind w:right="0" w:left="0" w:firstLine="0"/>
        <w:spacing w:before="0" w:after="0" w:line="184" w:lineRule="auto"/>
        <w:jc w:val="left"/>
        <w:rPr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</w:pPr>
      <w:r>
        <w:pict>
          <v:line strokeweight="0.7pt" strokecolor="#000000" from="-5.9pt,1.75pt" to="-5.9pt,29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  <w:t xml:space="preserve">SPMS„,</w:t>
      </w:r>
    </w:p>
    <w:p>
      <w:pPr>
        <w:ind w:right="0" w:left="0" w:firstLine="0"/>
        <w:spacing w:before="0" w:after="0" w:line="188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2232" w:firstLine="-360"/>
        <w:spacing w:before="504" w:after="0" w:line="324" w:lineRule="exact"/>
        <w:jc w:val="left"/>
        <w:tabs>
          <w:tab w:val="clear" w:pos="360"/>
          <w:tab w:val="decimal" w:pos="2232"/>
        </w:tabs>
        <w:numPr>
          <w:ilvl w:val="0"/>
          <w:numId w:val="4"/>
        </w:numP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Face às respostas a este formulário, será calculado um </w:t>
      </w:r>
      <w:r>
        <w:rPr>
          <w:i w:val="true"/>
          <w:color w:val="#000000"/>
          <w:sz w:val="19"/>
          <w:lang w:val="pt-PT"/>
          <w:spacing w:val="2"/>
          <w:w w:val="100"/>
          <w:strike w:val="false"/>
          <w:vertAlign w:val="baseline"/>
          <w:rFonts w:ascii="Arial" w:hAnsi="Arial"/>
        </w:rPr>
        <w:t xml:space="preserve">score </w:t>
      </w:r>
      <w: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indicativo da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probabilidade da reação corresponder a uma alergia;</w:t>
      </w:r>
    </w:p>
    <w:p>
      <w:pPr>
        <w:ind w:right="0" w:left="2232" w:firstLine="-360"/>
        <w:spacing w:before="180" w:after="0" w:line="346" w:lineRule="exact"/>
        <w:jc w:val="both"/>
        <w:tabs>
          <w:tab w:val="clear" w:pos="360"/>
          <w:tab w:val="decimal" w:pos="2232"/>
        </w:tabs>
        <w:numPr>
          <w:ilvl w:val="0"/>
          <w:numId w:val="4"/>
        </w:numP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Esta informação será depois transmitida à especialidade de Imunoalergologia </w:t>
      </w:r>
      <w: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que sempre que for pertinente procederá a uma avaliação em consulta da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especialidade;</w:t>
      </w:r>
    </w:p>
    <w:p>
      <w:pPr>
        <w:ind w:right="0" w:left="2232" w:firstLine="-360"/>
        <w:spacing w:before="216" w:after="0" w:line="346" w:lineRule="exact"/>
        <w:jc w:val="both"/>
        <w:tabs>
          <w:tab w:val="clear" w:pos="360"/>
          <w:tab w:val="decimal" w:pos="2232"/>
        </w:tabs>
        <w:numPr>
          <w:ilvl w:val="0"/>
          <w:numId w:val="4"/>
        </w:numPr>
        <w:rPr>
          <w:color w:val="#000000"/>
          <w:sz w:val="19"/>
          <w:lang w:val="pt-PT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1"/>
          <w:w w:val="100"/>
          <w:strike w:val="false"/>
          <w:vertAlign w:val="baseline"/>
          <w:rFonts w:ascii="Tahoma" w:hAnsi="Tahoma"/>
        </w:rPr>
        <w:t xml:space="preserve">Em consulta serão realizados procedimentos diagnósticos alergológicos que </w:t>
      </w:r>
      <w: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permitem confirmar ou excluir o diagnóstico de alergia a medicamentos para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cada doente;</w:t>
      </w:r>
    </w:p>
    <w:p>
      <w:pPr>
        <w:ind w:right="0" w:left="2232" w:firstLine="-360"/>
        <w:spacing w:before="180" w:after="0" w:line="364" w:lineRule="exact"/>
        <w:jc w:val="both"/>
        <w:tabs>
          <w:tab w:val="clear" w:pos="360"/>
          <w:tab w:val="decimal" w:pos="2232"/>
        </w:tabs>
        <w:numPr>
          <w:ilvl w:val="0"/>
          <w:numId w:val="4"/>
        </w:numP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Essa informação contribuirá para a criação/manutenção da tabela e alergias </w:t>
      </w:r>
      <w:r>
        <w:rPr>
          <w:color w:val="#000000"/>
          <w:sz w:val="19"/>
          <w:lang w:val="pt-PT"/>
          <w:spacing w:val="1"/>
          <w:w w:val="100"/>
          <w:strike w:val="false"/>
          <w:vertAlign w:val="baseline"/>
          <w:rFonts w:ascii="Tahoma" w:hAnsi="Tahoma"/>
        </w:rPr>
        <w:t xml:space="preserve">no novo sistema que resultará deste procedimento (tabela esta que deverá </w:t>
      </w:r>
      <w:r>
        <w:rPr>
          <w:color w:val="#000000"/>
          <w:sz w:val="19"/>
          <w:lang w:val="pt-PT"/>
          <w:spacing w:val="5"/>
          <w:w w:val="100"/>
          <w:strike w:val="false"/>
          <w:vertAlign w:val="baseline"/>
          <w:rFonts w:ascii="Tahoma" w:hAnsi="Tahoma"/>
        </w:rPr>
        <w:t xml:space="preserve">comunicar de forma automática com os diversos sistemas pré-existentes e </w:t>
      </w:r>
      <w: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que já utilizam sistemas de alerta de alergias (nomeadamente o SClinico).</w:t>
      </w:r>
    </w:p>
    <w:p>
      <w:pPr>
        <w:ind w:right="0" w:left="1440" w:firstLine="-360"/>
        <w:spacing w:before="216" w:after="0" w:line="320" w:lineRule="exact"/>
        <w:jc w:val="left"/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  <w:t xml:space="preserve">2) No âmbito da atividade da Alergologia, implementar no SIRAI um conjunto de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funcionalidades que permitam agilizar a atividade da Alergologia:</w:t>
      </w:r>
    </w:p>
    <w:p>
      <w:pPr>
        <w:ind w:right="0" w:left="2232" w:firstLine="-360"/>
        <w:spacing w:before="180" w:after="0" w:line="248" w:lineRule="exact"/>
        <w:jc w:val="left"/>
        <w:tabs>
          <w:tab w:val="clear" w:pos="360"/>
          <w:tab w:val="decimal" w:pos="2232"/>
        </w:tabs>
        <w:numPr>
          <w:ilvl w:val="0"/>
          <w:numId w:val="5"/>
        </w:numPr>
        <w:rPr>
          <w:color w:val="#000000"/>
          <w:sz w:val="19"/>
          <w:lang w:val="pt-PT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8"/>
          <w:w w:val="100"/>
          <w:strike w:val="false"/>
          <w:vertAlign w:val="baseline"/>
          <w:rFonts w:ascii="Tahoma" w:hAnsi="Tahoma"/>
        </w:rPr>
        <w:t xml:space="preserve">Gestão das situações cujo </w:t>
      </w:r>
      <w:r>
        <w:rPr>
          <w:i w:val="true"/>
          <w:color w:val="#000000"/>
          <w:sz w:val="19"/>
          <w:lang w:val="pt-PT"/>
          <w:spacing w:val="8"/>
          <w:w w:val="100"/>
          <w:strike w:val="false"/>
          <w:vertAlign w:val="baseline"/>
          <w:rFonts w:ascii="Arial" w:hAnsi="Arial"/>
        </w:rPr>
        <w:t xml:space="preserve">score </w:t>
      </w:r>
      <w:r>
        <w:rPr>
          <w:color w:val="#000000"/>
          <w:sz w:val="19"/>
          <w:lang w:val="pt-PT"/>
          <w:spacing w:val="8"/>
          <w:w w:val="100"/>
          <w:strike w:val="false"/>
          <w:vertAlign w:val="baseline"/>
          <w:rFonts w:ascii="Tahoma" w:hAnsi="Tahoma"/>
        </w:rPr>
        <w:t xml:space="preserve">sugere a avaliação da Alergologia;</w:t>
      </w:r>
    </w:p>
    <w:p>
      <w:pPr>
        <w:ind w:right="0" w:left="1872" w:firstLine="0"/>
        <w:spacing w:before="180" w:after="0" w:line="237" w:lineRule="exact"/>
        <w:jc w:val="left"/>
        <w:tabs>
          <w:tab w:val="clear" w:pos="360"/>
          <w:tab w:val="decimal" w:pos="2232"/>
        </w:tabs>
        <w:numPr>
          <w:ilvl w:val="0"/>
          <w:numId w:val="5"/>
        </w:numPr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  <w:t xml:space="preserve">Gestão do agendamento da atividade inerente a esta avaliação;</w:t>
      </w:r>
    </w:p>
    <w:p>
      <w:pPr>
        <w:ind w:right="0" w:left="2232" w:firstLine="-360"/>
        <w:spacing w:before="216" w:after="0" w:line="320" w:lineRule="exact"/>
        <w:jc w:val="left"/>
        <w:tabs>
          <w:tab w:val="clear" w:pos="360"/>
          <w:tab w:val="decimal" w:pos="2232"/>
        </w:tabs>
        <w:numPr>
          <w:ilvl w:val="0"/>
          <w:numId w:val="5"/>
        </w:numPr>
        <w:rPr>
          <w:color w:val="#000000"/>
          <w:sz w:val="19"/>
          <w:lang w:val="pt-PT"/>
          <w:spacing w:val="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9"/>
          <w:w w:val="100"/>
          <w:strike w:val="false"/>
          <w:vertAlign w:val="baseline"/>
          <w:rFonts w:ascii="Tahoma" w:hAnsi="Tahoma"/>
        </w:rPr>
        <w:t xml:space="preserve">Elaborar formulário estruturado para registo da informação clínica de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Alergologia decorrente da avaliação;</w:t>
      </w:r>
    </w:p>
    <w:p>
      <w:pPr>
        <w:ind w:right="0" w:left="2232" w:firstLine="-360"/>
        <w:spacing w:before="180" w:after="0" w:line="322" w:lineRule="exact"/>
        <w:jc w:val="left"/>
        <w:tabs>
          <w:tab w:val="clear" w:pos="360"/>
          <w:tab w:val="decimal" w:pos="2232"/>
        </w:tabs>
        <w:numPr>
          <w:ilvl w:val="0"/>
          <w:numId w:val="5"/>
        </w:numP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Assegurar atualização automática da notificação RAM com o resultado da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avaliação;</w:t>
      </w:r>
    </w:p>
    <w:p>
      <w:pPr>
        <w:ind w:right="0" w:left="2232" w:firstLine="-360"/>
        <w:spacing w:before="216" w:after="0" w:line="362" w:lineRule="exact"/>
        <w:jc w:val="both"/>
        <w:tabs>
          <w:tab w:val="clear" w:pos="360"/>
          <w:tab w:val="decimal" w:pos="2232"/>
        </w:tabs>
        <w:numPr>
          <w:ilvl w:val="0"/>
          <w:numId w:val="5"/>
        </w:numP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Geração de um diário clínico com integração com a componente de diários </w:t>
      </w:r>
      <w:r>
        <w:rPr>
          <w:color w:val="#000000"/>
          <w:sz w:val="19"/>
          <w:lang w:val="pt-PT"/>
          <w:spacing w:val="20"/>
          <w:w w:val="100"/>
          <w:strike w:val="false"/>
          <w:vertAlign w:val="baseline"/>
          <w:rFonts w:ascii="Tahoma" w:hAnsi="Tahoma"/>
        </w:rPr>
        <w:t xml:space="preserve">clínicos do SONHO/SClinico; a capacidade de implementar esta </w:t>
      </w:r>
      <w:r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  <w:t xml:space="preserve">funcionalidade deverá ser comprovada em declaração de um hospital </w:t>
      </w:r>
      <w:r>
        <w:rPr>
          <w:color w:val="#000000"/>
          <w:sz w:val="19"/>
          <w:lang w:val="pt-PT"/>
          <w:spacing w:val="5"/>
          <w:w w:val="100"/>
          <w:strike w:val="false"/>
          <w:vertAlign w:val="baseline"/>
          <w:rFonts w:ascii="Tahoma" w:hAnsi="Tahoma"/>
        </w:rPr>
        <w:t xml:space="preserve">utilizador da funcionalidade ou em demonstração;</w:t>
      </w:r>
    </w:p>
    <w:p>
      <w:pPr>
        <w:ind w:right="0" w:left="2232" w:firstLine="-360"/>
        <w:spacing w:before="180" w:after="0" w:line="316" w:lineRule="exact"/>
        <w:jc w:val="left"/>
        <w:tabs>
          <w:tab w:val="clear" w:pos="360"/>
          <w:tab w:val="decimal" w:pos="2232"/>
        </w:tabs>
        <w:numPr>
          <w:ilvl w:val="0"/>
          <w:numId w:val="5"/>
        </w:numPr>
        <w:rPr>
          <w:color w:val="#000000"/>
          <w:sz w:val="19"/>
          <w:lang w:val="pt-PT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8"/>
          <w:w w:val="100"/>
          <w:strike w:val="false"/>
          <w:vertAlign w:val="baseline"/>
          <w:rFonts w:ascii="Tahoma" w:hAnsi="Tahoma"/>
        </w:rPr>
        <w:t xml:space="preserve">Atualização automática da tabela de alergias do SClinico com os casos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confirmados;</w:t>
      </w:r>
    </w:p>
    <w:p>
      <w:pPr>
        <w:ind w:right="0" w:left="2232" w:firstLine="-360"/>
        <w:spacing w:before="180" w:after="0" w:line="320" w:lineRule="exact"/>
        <w:jc w:val="left"/>
        <w:tabs>
          <w:tab w:val="clear" w:pos="360"/>
          <w:tab w:val="decimal" w:pos="2232"/>
        </w:tabs>
        <w:numPr>
          <w:ilvl w:val="0"/>
          <w:numId w:val="5"/>
        </w:numPr>
        <w:rPr>
          <w:color w:val="#000000"/>
          <w:sz w:val="19"/>
          <w:lang w:val="pt-PT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8"/>
          <w:w w:val="100"/>
          <w:strike w:val="false"/>
          <w:vertAlign w:val="baseline"/>
          <w:rFonts w:ascii="Tahoma" w:hAnsi="Tahoma"/>
        </w:rPr>
        <w:t xml:space="preserve">Disponibilizar alguns dashboard com indicadores de gestão relativos à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atividade da Alergologia.</w:t>
      </w:r>
    </w:p>
    <w:p>
      <w:pPr>
        <w:ind w:right="36" w:left="0" w:firstLine="0"/>
        <w:spacing w:before="612" w:after="1692" w:line="175" w:lineRule="exact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29 </w:t>
      </w:r>
      <w:r>
        <w:rPr>
          <w:color w:val="#000000"/>
          <w:sz w:val="14"/>
          <w:lang w:val="pt-PT"/>
          <w:spacing w:val="0"/>
          <w:w w:val="105"/>
          <w:strike w:val="false"/>
          <w:vertAlign w:val="baseline"/>
          <w:rFonts w:ascii="Verdana" w:hAnsi="Verdana"/>
        </w:rPr>
        <w:t xml:space="preserve">de 32</w:t>
      </w:r>
    </w:p>
    <w:p>
      <w:pPr>
        <w:ind w:right="0" w:left="288" w:firstLine="0"/>
        <w:spacing w:before="36" w:after="0" w:line="283" w:lineRule="auto"/>
        <w:jc w:val="center"/>
        <w:rPr>
          <w:color w:val="#000000"/>
          <w:sz w:val="12"/>
          <w:lang w:val="pt-PT"/>
          <w:spacing w:val="2"/>
          <w:w w:val="100"/>
          <w:strike w:val="false"/>
          <w:vertAlign w:val="baseline"/>
          <w:rFonts w:ascii="Tahoma" w:hAnsi="Tahoma"/>
        </w:rPr>
      </w:pPr>
      <w:r>
        <w:pict>
          <v:line strokeweight="0.35pt" strokecolor="#000000" from="27.95pt,0.25pt" to="438.4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SPMS —Serviços Partilhados do Ministério da Saúde, E.P.E. Av. da República, n5 61 1050-189 Lisboa Tel.: 211 545 600 1 Fax: 211 545 649
</w:t>
        <w:br/>
      </w:r>
      <w:r>
        <w:rPr>
          <w:color w:val="#000000"/>
          <w:sz w:val="12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Capital Estatutário: 26.260.689,00 Furos </w:t>
      </w:r>
      <w:r>
        <w:rPr>
          <w:color w:val="#000000"/>
          <w:sz w:val="11"/>
          <w:lang w:val="pt-PT"/>
          <w:spacing w:val="3"/>
          <w:w w:val="100"/>
          <w:strike w:val="false"/>
          <w:vertAlign w:val="baseline"/>
          <w:rFonts w:ascii="Arial" w:hAnsi="Arial"/>
        </w:rPr>
        <w:t xml:space="preserve">Kg </w:t>
      </w:r>
      <w:r>
        <w:rPr>
          <w:color w:val="#000000"/>
          <w:sz w:val="12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510" w:top="494" w:right="1399" w:left="1459" w:header="720" w:footer="720"/>
          <w:titlePg w:val="false"/>
        </w:sectPr>
      </w:pPr>
    </w:p>
    <w:p>
      <w:pPr>
        <w:ind w:right="0" w:left="0" w:firstLine="0"/>
        <w:spacing w:before="36" w:after="0" w:line="399" w:lineRule="exact"/>
        <w:jc w:val="left"/>
        <w:rPr>
          <w:b w:val="true"/>
          <w:color w:val="#000000"/>
          <w:sz w:val="47"/>
          <w:lang w:val="pt-PT"/>
          <w:spacing w:val="10"/>
          <w:w w:val="70"/>
          <w:strike w:val="false"/>
          <w:vertAlign w:val="baseline"/>
          <w:rFonts w:ascii="Tahoma" w:hAnsi="Tahoma"/>
        </w:rPr>
      </w:pPr>
      <w:r>
        <w:pict>
          <v:line strokeweight="0.7pt" strokecolor="#0F1826" from="-6.15pt,1.3pt" to="-6.15pt,29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7"/>
          <w:lang w:val="pt-PT"/>
          <w:spacing w:val="10"/>
          <w:w w:val="70"/>
          <w:strike w:val="false"/>
          <w:vertAlign w:val="baseline"/>
          <w:rFonts w:ascii="Tahoma" w:hAnsi="Tahoma"/>
        </w:rPr>
        <w:t xml:space="preserve">SPMSE„</w:t>
      </w:r>
    </w:p>
    <w:p>
      <w:pPr>
        <w:ind w:right="0" w:left="0" w:firstLine="0"/>
        <w:spacing w:before="0" w:after="0" w:line="184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1512" w:firstLine="-360"/>
        <w:spacing w:before="504" w:after="0" w:line="347" w:lineRule="exact"/>
        <w:jc w:val="both"/>
        <w:tabs>
          <w:tab w:val="clear" w:pos="360"/>
          <w:tab w:val="decimal" w:pos="1512"/>
        </w:tabs>
        <w:numPr>
          <w:ilvl w:val="0"/>
          <w:numId w:val="6"/>
        </w:numP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O sistema deverá ter a lista de fármacos possíveis de prescrever em contexto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hospitalar atualizada periodicamente (a definir em fase de execução do projeto) com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base na base de dados oficial disponibilizada pelo INFARMED;</w:t>
      </w:r>
    </w:p>
    <w:p>
      <w:pPr>
        <w:ind w:right="0" w:left="1512" w:firstLine="-360"/>
        <w:spacing w:before="180" w:after="0" w:line="360" w:lineRule="exact"/>
        <w:jc w:val="both"/>
        <w:tabs>
          <w:tab w:val="clear" w:pos="360"/>
          <w:tab w:val="decimal" w:pos="1512"/>
        </w:tabs>
        <w:numPr>
          <w:ilvl w:val="0"/>
          <w:numId w:val="6"/>
        </w:numP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O sistema deverá ter uma solução que com base numa lista de fármacos suspeitos, é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capaz de executar uma pesquisa na bibliografia científica relevante (SCOPUS e PUBMED), calcular uma medida de relevância, e apresentar os sumários de cada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artigo ordenado por relevância;</w:t>
      </w:r>
    </w:p>
    <w:p>
      <w:pPr>
        <w:ind w:right="0" w:left="1512" w:firstLine="-360"/>
        <w:spacing w:before="216" w:after="0" w:line="319" w:lineRule="exact"/>
        <w:jc w:val="left"/>
        <w:tabs>
          <w:tab w:val="clear" w:pos="360"/>
          <w:tab w:val="decimal" w:pos="1512"/>
        </w:tabs>
        <w:numPr>
          <w:ilvl w:val="0"/>
          <w:numId w:val="6"/>
        </w:numP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A solução deve distinguir a recolha de RAMs de produtos de contraste, de forma a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permitir um maior detalhe de registo destes eventos;</w:t>
      </w:r>
    </w:p>
    <w:p>
      <w:pPr>
        <w:ind w:right="0" w:left="1512" w:firstLine="-360"/>
        <w:spacing w:before="180" w:after="0" w:line="369" w:lineRule="exact"/>
        <w:jc w:val="both"/>
        <w:tabs>
          <w:tab w:val="clear" w:pos="360"/>
          <w:tab w:val="decimal" w:pos="1512"/>
        </w:tabs>
        <w:numPr>
          <w:ilvl w:val="0"/>
          <w:numId w:val="6"/>
        </w:numP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Implementação de componentes de Inteligência Artificial para apoio à decisão no domínio da avaliação de reações alérgicas e/ou alergias reportadas a Beta-Lactâmicos </w:t>
      </w:r>
      <w:r>
        <w:rPr>
          <w:color w:val="#000000"/>
          <w:sz w:val="18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e outras classes farmacológicas. Em sede de candidatura devem ser apresentados os </w:t>
      </w: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modelos que suportam as componentes de inteligência Artificial bem como a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evidência científica que os suporta;</w:t>
      </w:r>
    </w:p>
    <w:p>
      <w:pPr>
        <w:ind w:right="0" w:left="1512" w:firstLine="-360"/>
        <w:spacing w:before="216" w:after="0" w:line="360" w:lineRule="exact"/>
        <w:jc w:val="both"/>
        <w:tabs>
          <w:tab w:val="clear" w:pos="360"/>
          <w:tab w:val="decimal" w:pos="1512"/>
        </w:tabs>
        <w:numPr>
          <w:ilvl w:val="0"/>
          <w:numId w:val="6"/>
        </w:numP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Implementação de componentes de Inteligência Artificial no apoio à imputação de 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causalidade de reação adversa. Em sede de candidatura devem ser apresentados os </w:t>
      </w: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modelos que suportam as componentes de Inteligência Artificial bem como a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evidência científica que os suporta;</w:t>
      </w:r>
    </w:p>
    <w:p>
      <w:pPr>
        <w:ind w:right="0" w:left="1512" w:firstLine="-360"/>
        <w:spacing w:before="180" w:after="0" w:line="298" w:lineRule="exact"/>
        <w:jc w:val="left"/>
        <w:tabs>
          <w:tab w:val="clear" w:pos="360"/>
          <w:tab w:val="decimal" w:pos="1512"/>
        </w:tabs>
        <w:numPr>
          <w:ilvl w:val="0"/>
          <w:numId w:val="6"/>
        </w:numP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Apresentar os modelos que suportam as componentes de Inteligência Artificial bem com a evidência científica</w:t>
      </w:r>
    </w:p>
    <w:p>
      <w:pPr>
        <w:ind w:right="0" w:left="1512" w:firstLine="-360"/>
        <w:spacing w:before="216" w:after="0" w:line="369" w:lineRule="exact"/>
        <w:jc w:val="both"/>
        <w:tabs>
          <w:tab w:val="clear" w:pos="360"/>
          <w:tab w:val="decimal" w:pos="1512"/>
        </w:tabs>
        <w:numPr>
          <w:ilvl w:val="0"/>
          <w:numId w:val="6"/>
        </w:numP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A estrutura e interfaces de registo, a navegabilidade e facilidade de registos/consulta, 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os dados registados e o workflow de processos implementados no SIRAI, devem ser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adaptados/revistos em função dos requisitos exigidos pelas novas funcionalidades </w:t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que vierem a ser implementadas no âmbito deste procedimento (esta revisão pode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implicar, também, uma revisão de foro tecnológico);</w:t>
      </w:r>
    </w:p>
    <w:p>
      <w:pPr>
        <w:ind w:right="0" w:left="1512" w:firstLine="-360"/>
        <w:spacing w:before="216" w:after="0" w:line="341" w:lineRule="exact"/>
        <w:jc w:val="both"/>
        <w:tabs>
          <w:tab w:val="clear" w:pos="360"/>
          <w:tab w:val="decimal" w:pos="1512"/>
        </w:tabs>
        <w:numPr>
          <w:ilvl w:val="0"/>
          <w:numId w:val="6"/>
        </w:numPr>
        <w:rPr>
          <w:color w:val="#000000"/>
          <w:sz w:val="18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A solução deve permitir a exploração dos dados para fins de gestão e de investigação,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através da exportação de dados usando terminologias internacionais sempre que 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estas existam;</w:t>
      </w:r>
    </w:p>
    <w:p>
      <w:pPr>
        <w:ind w:right="0" w:left="1512" w:firstLine="-360"/>
        <w:spacing w:before="216" w:after="0" w:line="347" w:lineRule="exact"/>
        <w:jc w:val="both"/>
        <w:tabs>
          <w:tab w:val="clear" w:pos="360"/>
          <w:tab w:val="decimal" w:pos="1512"/>
        </w:tabs>
        <w:numPr>
          <w:ilvl w:val="0"/>
          <w:numId w:val="6"/>
        </w:numP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Implementar dashboards para exploração de dados e apoio à decisão (monitorização </w:t>
      </w: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do sistema em tempo real: Ng de RAM's a pedidos de avaliação alergológica </w:t>
      </w:r>
      <w:r>
        <w:rPr>
          <w:color w:val="#000000"/>
          <w:sz w:val="18"/>
          <w:lang w:val="pt-PT"/>
          <w:spacing w:val="9"/>
          <w:w w:val="100"/>
          <w:strike w:val="false"/>
          <w:vertAlign w:val="baseline"/>
          <w:rFonts w:ascii="Verdana" w:hAnsi="Verdana"/>
        </w:rPr>
        <w:t xml:space="preserve">registados; Percentagem dos que foram identificados para intervenção da</w:t>
      </w:r>
    </w:p>
    <w:p>
      <w:pPr>
        <w:ind w:right="36" w:left="0" w:firstLine="0"/>
        <w:spacing w:before="72" w:after="1116" w:line="175" w:lineRule="exact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30 de 32</w:t>
      </w:r>
    </w:p>
    <w:p>
      <w:pPr>
        <w:ind w:right="0" w:left="288" w:firstLine="0"/>
        <w:spacing w:before="36" w:after="0" w:line="300" w:lineRule="auto"/>
        <w:jc w:val="center"/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2pt" strokecolor="#4A4C4B" from="27.15pt,0.15pt" to="298.65pt,0.1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434947" from="326.3pt,0.15pt" to="374.6pt,0.1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4D504F" from="403.35pt,0.15pt" to="433.45pt,0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SPMS —Serviços Partilhados do Ministério da Saúde, E.P.E. Av. da República, n</w:t>
      </w:r>
      <w:r>
        <w:rPr>
          <w:color w:val="#000000"/>
          <w:sz w:val="11"/>
          <w:lang w:val="pt-PT"/>
          <w:spacing w:val="0"/>
          <w:w w:val="120"/>
          <w:strike w:val="false"/>
          <w:vertAlign w:val="superscript"/>
          <w:rFonts w:ascii="Arial" w:hAnsi="Arial"/>
        </w:rPr>
        <w:t xml:space="preserve">9</w:t>
      </w:r>
      <w:r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 61 1050-189 Lisboa Tel.: 211 545 600 1 Fax: 211 545 649
</w:t>
        <w:br/>
      </w:r>
      <w:r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Capital Estatutário: 26.260.689,00 Euros N.</w:t>
      </w:r>
      <w:r>
        <w:rPr>
          <w:color w:val="#000000"/>
          <w:sz w:val="11"/>
          <w:lang w:val="pt-PT"/>
          <w:spacing w:val="0"/>
          <w:w w:val="120"/>
          <w:strike w:val="false"/>
          <w:vertAlign w:val="superscript"/>
          <w:rFonts w:ascii="Arial" w:hAnsi="Arial"/>
        </w:rPr>
        <w:t xml:space="preserve">9</w:t>
      </w:r>
      <w:r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 único de matrícula na C.R.C. Lisboa e de pessoa coletiva 509 540716</w:t>
      </w:r>
    </w:p>
    <w:sectPr>
      <w:pgSz w:w="11918" w:h="16854" w:orient="portrait"/>
      <w:type w:val="nextPage"/>
      <w:textDirection w:val="lrTb"/>
      <w:pgMar w:bottom="490" w:top="514" w:right="1392" w:left="146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8"/>
        <w:lang w:val="pt-PT"/>
        <w:spacing w:val="-6"/>
        <w:w w:val="100"/>
        <w:strike w:val="false"/>
        <w:vertAlign w:val="baseline"/>
        <w:rFonts w:ascii="Verdana" w:hAnsi="Verdana"/>
      </w:rPr>
    </w:lvl>
  </w:abstractNum>
  <w:abstractNum w:abstractNumId="2">
    <w:lvl w:ilvl="0">
      <w:numFmt w:val="decimal"/>
      <w:lvlText w:val="%1)"/>
      <w:start w:val="5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-10"/>
        <w:w w:val="100"/>
        <w:strike w:val="false"/>
        <w:vertAlign w:val="baseline"/>
        <w:rFonts w:ascii="Verdana" w:hAnsi="Verdana"/>
      </w:rPr>
    </w:lvl>
  </w:abstractNum>
  <w:abstractNum w:abstractNumId="3">
    <w:lvl w:ilvl="0">
      <w:numFmt w:val="lowerLetter"/>
      <w:lvlText w:val="%1)"/>
      <w:start w:val="2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2"/>
        <w:w w:val="100"/>
        <w:strike w:val="false"/>
        <w:vertAlign w:val="baseline"/>
        <w:rFonts w:ascii="Tahoma" w:hAnsi="Tahoma"/>
      </w:rPr>
    </w:lvl>
  </w:abstractNum>
  <w:abstractNum w:abstractNumId="4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8"/>
        <w:w w:val="100"/>
        <w:strike w:val="false"/>
        <w:vertAlign w:val="baseline"/>
        <w:rFonts w:ascii="Tahoma" w:hAnsi="Tahoma"/>
      </w:rPr>
    </w:lvl>
  </w:abstractNum>
  <w:abstractNum w:abstractNumId="5">
    <w:lvl w:ilvl="0">
      <w:numFmt w:val="decimal"/>
      <w:lvlText w:val="%1)"/>
      <w:start w:val="3"/>
      <w:lvlJc w:val="left"/>
      <w:pPr>
        <w:ind w:left="720"/>
        <w:tabs>
          <w:tab w:val="decimal" w:pos="360"/>
        </w:tabs>
      </w:pPr>
      <w:rPr>
        <w:color w:val="#000000"/>
        <w:sz w:val="18"/>
        <w:lang w:val="pt-PT"/>
        <w:spacing w:val="0"/>
        <w:w w:val="100"/>
        <w:strike w:val="false"/>
        <w:vertAlign w:val="baseline"/>
        <w:rFonts w:ascii="Verdana" w:hAnsi="Verdana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numbering" Target="/word/numbering.xml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