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184" w:lineRule="auto"/>
        <w:jc w:val="left"/>
        <w:rPr>
          <w:b w:val="true"/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</w:pPr>
      <w:r>
        <w:pict>
          <v:line strokeweight="0.7pt" strokecolor="#0B141E" from="-7.55pt,1.45pt" to="-7.55pt,29.4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9"/>
          <w:lang w:val="pt-PT"/>
          <w:spacing w:val="0"/>
          <w:w w:val="75"/>
          <w:strike w:val="false"/>
          <w:vertAlign w:val="baseline"/>
          <w:rFonts w:ascii="Arial" w:hAnsi="Arial"/>
        </w:rPr>
        <w:t xml:space="preserve">SPMS„,</w:t>
      </w:r>
    </w:p>
    <w:p>
      <w:pPr>
        <w:ind w:right="0" w:left="0" w:firstLine="0"/>
        <w:spacing w:before="0" w:after="0" w:line="190" w:lineRule="exact"/>
        <w:jc w:val="left"/>
        <w:rPr>
          <w:color w:val="#000000"/>
          <w:sz w:val="15"/>
          <w:lang w:val="pt-PT"/>
          <w:spacing w:val="-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pt-PT"/>
          <w:spacing w:val="-8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72" w:left="1368" w:firstLine="0"/>
        <w:spacing w:before="504" w:after="0" w:line="347" w:lineRule="exact"/>
        <w:jc w:val="both"/>
        <w:rPr>
          <w:color w:val="#000000"/>
          <w:sz w:val="18"/>
          <w:lang w:val="pt-PT"/>
          <w:spacing w:val="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4"/>
          <w:w w:val="100"/>
          <w:strike w:val="false"/>
          <w:vertAlign w:val="baseline"/>
          <w:rFonts w:ascii="Verdana" w:hAnsi="Verdana"/>
        </w:rPr>
        <w:t xml:space="preserve">Alergologia; Percentagem dos casos cuja avaliação alergológica foi positiva;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Percentagem de casos que aguardam avaliação da Alergologia; Estratificação por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fármaco e por tipo de reações, etc);</w:t>
      </w:r>
    </w:p>
    <w:p>
      <w:pPr>
        <w:ind w:right="72" w:left="1368" w:firstLine="-288"/>
        <w:spacing w:before="180" w:after="0" w:line="325" w:lineRule="exact"/>
        <w:jc w:val="left"/>
        <w:rPr>
          <w:color w:val="#000000"/>
          <w:sz w:val="18"/>
          <w:lang w:val="pt-PT"/>
          <w:spacing w:val="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7"/>
          <w:w w:val="100"/>
          <w:strike w:val="false"/>
          <w:vertAlign w:val="baseline"/>
          <w:rFonts w:ascii="Verdana" w:hAnsi="Verdana"/>
        </w:rPr>
        <w:t xml:space="preserve">12) Implementar integrações decorrentes de todas as novas funcionalidades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implementadas no âmbito deste procedimento, nomeadamente:</w:t>
      </w:r>
    </w:p>
    <w:p>
      <w:pPr>
        <w:ind w:right="0" w:left="1728" w:firstLine="0"/>
        <w:spacing w:before="180" w:after="0" w:line="241" w:lineRule="exact"/>
        <w:jc w:val="left"/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a) SClinico-Hospitalar:</w:t>
      </w:r>
    </w:p>
    <w:p>
      <w:pPr>
        <w:ind w:right="0" w:left="2664" w:firstLine="0"/>
        <w:spacing w:before="216" w:after="0" w:line="237" w:lineRule="exact"/>
        <w:jc w:val="left"/>
        <w:tabs>
          <w:tab w:val="clear" w:pos="216"/>
          <w:tab w:val="decimal" w:pos="2880"/>
        </w:tabs>
        <w:numPr>
          <w:ilvl w:val="0"/>
          <w:numId w:val="2"/>
        </w:numP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Leitura das listas de trabalho dos profissionais de saúde;</w:t>
      </w:r>
    </w:p>
    <w:p>
      <w:pPr>
        <w:ind w:right="0" w:left="2664" w:firstLine="0"/>
        <w:spacing w:before="180" w:after="0" w:line="237" w:lineRule="exact"/>
        <w:jc w:val="left"/>
        <w:tabs>
          <w:tab w:val="clear" w:pos="216"/>
          <w:tab w:val="decimal" w:pos="2880"/>
        </w:tabs>
        <w:numPr>
          <w:ilvl w:val="0"/>
          <w:numId w:val="2"/>
        </w:numPr>
        <w:rPr>
          <w:color w:val="#000000"/>
          <w:sz w:val="18"/>
          <w:lang w:val="pt-PT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1"/>
          <w:w w:val="100"/>
          <w:strike w:val="false"/>
          <w:vertAlign w:val="baseline"/>
          <w:rFonts w:ascii="Verdana" w:hAnsi="Verdana"/>
        </w:rPr>
        <w:t xml:space="preserve">Envio de informação clínica (diários clínicos);</w:t>
      </w:r>
    </w:p>
    <w:p>
      <w:pPr>
        <w:ind w:right="0" w:left="2664" w:firstLine="0"/>
        <w:spacing w:before="216" w:after="0" w:line="234" w:lineRule="exact"/>
        <w:jc w:val="left"/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o Atualização da tabela de alergias.</w:t>
      </w:r>
    </w:p>
    <w:p>
      <w:pPr>
        <w:ind w:right="0" w:left="1728" w:firstLine="0"/>
        <w:spacing w:before="180" w:after="0" w:line="233" w:lineRule="exact"/>
        <w:jc w:val="left"/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  <w:t xml:space="preserve">b) Portal de Utente:</w:t>
      </w:r>
    </w:p>
    <w:p>
      <w:pPr>
        <w:ind w:right="72" w:left="2880" w:firstLine="-216"/>
        <w:spacing w:before="216" w:after="0" w:line="298" w:lineRule="exact"/>
        <w:jc w:val="left"/>
        <w:tabs>
          <w:tab w:val="clear" w:pos="216"/>
          <w:tab w:val="decimal" w:pos="2880"/>
        </w:tabs>
        <w:numPr>
          <w:ilvl w:val="0"/>
          <w:numId w:val="2"/>
        </w:numP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Disponibilizar ao utente as suas RAM através do portal do Utente da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ULSM.</w:t>
      </w:r>
    </w:p>
    <w:p>
      <w:pPr>
        <w:ind w:right="0" w:left="1728" w:firstLine="0"/>
        <w:spacing w:before="216" w:after="0" w:line="237" w:lineRule="exact"/>
        <w:jc w:val="left"/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c) Infarnned:</w:t>
      </w:r>
    </w:p>
    <w:p>
      <w:pPr>
        <w:ind w:right="72" w:left="2880" w:firstLine="-288"/>
        <w:spacing w:before="180" w:after="0" w:line="370" w:lineRule="exact"/>
        <w:jc w:val="both"/>
        <w:tabs>
          <w:tab w:val="clear" w:pos="288"/>
          <w:tab w:val="decimal" w:pos="2880"/>
        </w:tabs>
        <w:numPr>
          <w:ilvl w:val="0"/>
          <w:numId w:val="3"/>
        </w:numP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Envio das RAMs de forma estruturada para o Infarmed. A capacidade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de implementar esta funcionalidade deverá ser comprovada em </w:t>
      </w:r>
      <w:r>
        <w:rPr>
          <w:color w:val="#000000"/>
          <w:sz w:val="18"/>
          <w:lang w:val="pt-PT"/>
          <w:spacing w:val="15"/>
          <w:w w:val="100"/>
          <w:strike w:val="false"/>
          <w:vertAlign w:val="baseline"/>
          <w:rFonts w:ascii="Verdana" w:hAnsi="Verdana"/>
        </w:rPr>
        <w:t xml:space="preserve">declaração de uma instituição hospitalar ou dedicada à </w:t>
      </w:r>
      <w: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  <w:t xml:space="preserve">farmacovigilância que seja utilizador da funcionalidade ou em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demonstração.</w:t>
      </w:r>
    </w:p>
    <w:p>
      <w:pPr>
        <w:ind w:right="0" w:left="1728" w:firstLine="0"/>
        <w:spacing w:before="216" w:after="0" w:line="234" w:lineRule="exact"/>
        <w:jc w:val="left"/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d) Com outras aplicações clínicas existente na ULSM:</w:t>
      </w:r>
    </w:p>
    <w:p>
      <w:pPr>
        <w:ind w:right="72" w:left="2880" w:firstLine="-288"/>
        <w:spacing w:before="180" w:after="0" w:line="320" w:lineRule="exact"/>
        <w:jc w:val="left"/>
        <w:tabs>
          <w:tab w:val="clear" w:pos="288"/>
          <w:tab w:val="decimal" w:pos="2880"/>
        </w:tabs>
        <w:numPr>
          <w:ilvl w:val="0"/>
          <w:numId w:val="3"/>
        </w:numP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Dar acesso ao SIRAI às aplicações da ULSM com autenticação 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pesquisa do doente em contexto;</w:t>
      </w:r>
    </w:p>
    <w:p>
      <w:pPr>
        <w:ind w:right="72" w:left="2880" w:firstLine="-288"/>
        <w:spacing w:before="216" w:after="0" w:line="321" w:lineRule="exact"/>
        <w:jc w:val="left"/>
        <w:tabs>
          <w:tab w:val="clear" w:pos="288"/>
          <w:tab w:val="decimal" w:pos="2880"/>
        </w:tabs>
        <w:numPr>
          <w:ilvl w:val="0"/>
          <w:numId w:val="3"/>
        </w:numP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Dar acesso à tabela de alergias/SClinico às aplicações da ULSM com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autenticação e pesquisa do doente em contexto;</w:t>
      </w:r>
    </w:p>
    <w:p>
      <w:pPr>
        <w:ind w:right="72" w:left="2880" w:firstLine="-288"/>
        <w:spacing w:before="180" w:after="0" w:line="313" w:lineRule="exact"/>
        <w:jc w:val="left"/>
        <w:tabs>
          <w:tab w:val="clear" w:pos="288"/>
          <w:tab w:val="decimal" w:pos="2880"/>
        </w:tabs>
        <w:numPr>
          <w:ilvl w:val="0"/>
          <w:numId w:val="3"/>
        </w:numP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Disponibilizar por doente de um objeto (JSON) como todas as RAM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desse doente;</w:t>
      </w:r>
    </w:p>
    <w:p>
      <w:pPr>
        <w:ind w:right="0" w:left="2880" w:firstLine="-288"/>
        <w:spacing w:before="216" w:after="0" w:line="230" w:lineRule="exact"/>
        <w:jc w:val="left"/>
        <w:tabs>
          <w:tab w:val="clear" w:pos="288"/>
          <w:tab w:val="decimal" w:pos="2880"/>
        </w:tabs>
        <w:numPr>
          <w:ilvl w:val="0"/>
          <w:numId w:val="3"/>
        </w:numPr>
        <w:rPr>
          <w:color w:val="#000000"/>
          <w:sz w:val="18"/>
          <w:lang w:val="pt-PT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1"/>
          <w:w w:val="100"/>
          <w:strike w:val="false"/>
          <w:vertAlign w:val="baseline"/>
          <w:rFonts w:ascii="Verdana" w:hAnsi="Verdana"/>
        </w:rPr>
        <w:t xml:space="preserve">Disponibilizar um PDF com todas as RAM desse doente.</w:t>
      </w:r>
    </w:p>
    <w:p>
      <w:pPr>
        <w:ind w:right="72" w:left="1368" w:firstLine="-360"/>
        <w:spacing w:before="180" w:after="0" w:line="351" w:lineRule="exact"/>
        <w:jc w:val="both"/>
        <w:rPr>
          <w:color w:val="#000000"/>
          <w:sz w:val="18"/>
          <w:lang w:val="pt-PT"/>
          <w:spacing w:val="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9"/>
          <w:w w:val="100"/>
          <w:strike w:val="false"/>
          <w:vertAlign w:val="baseline"/>
          <w:rFonts w:ascii="Verdana" w:hAnsi="Verdana"/>
        </w:rPr>
        <w:t xml:space="preserve">13) Conforme já referido, em fase de execução deste projeto, para além do </w:t>
      </w:r>
      <w:r>
        <w:rPr>
          <w:color w:val="#000000"/>
          <w:sz w:val="18"/>
          <w:lang w:val="pt-PT"/>
          <w:spacing w:val="6"/>
          <w:w w:val="100"/>
          <w:strike w:val="false"/>
          <w:vertAlign w:val="baseline"/>
          <w:rFonts w:ascii="Verdana" w:hAnsi="Verdana"/>
        </w:rPr>
        <w:t xml:space="preserve">desenvolvimento e implementação das funcionalidades identificadas neste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documento, a equipa de projeto da ULSM pode vir a considerar necessário efetuar a</w:t>
      </w:r>
    </w:p>
    <w:p>
      <w:pPr>
        <w:ind w:right="108" w:left="0" w:firstLine="0"/>
        <w:spacing w:before="72" w:after="1728" w:line="175" w:lineRule="exact"/>
        <w:jc w:val="right"/>
        <w:rPr>
          <w:color w:val="#000000"/>
          <w:sz w:val="14"/>
          <w:lang w:val="pt-PT"/>
          <w:spacing w:val="0"/>
          <w:w w:val="105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pt-PT"/>
          <w:spacing w:val="0"/>
          <w:w w:val="105"/>
          <w:strike w:val="false"/>
          <w:vertAlign w:val="baseline"/>
          <w:rFonts w:ascii="Verdana" w:hAnsi="Verdana"/>
        </w:rPr>
        <w:t xml:space="preserve">31 de 32</w:t>
      </w:r>
    </w:p>
    <w:p>
      <w:pPr>
        <w:ind w:right="0" w:left="144" w:firstLine="0"/>
        <w:spacing w:before="36" w:after="0" w:line="280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434544" from="24.15pt,0.25pt" to="434.95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</w:t>
      </w:r>
      <w:r>
        <w:rPr>
          <w:color w:val="#000000"/>
          <w:sz w:val="12"/>
          <w:lang w:val="pt-PT"/>
          <w:spacing w:val="-5"/>
          <w:w w:val="105"/>
          <w:strike w:val="false"/>
          <w:vertAlign w:val="superscript"/>
          <w:rFonts w:ascii="Verdana" w:hAnsi="Verdana"/>
        </w:rPr>
        <w:t xml:space="preserve">9</w: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 61 1050-189 Lisboa Tel.: 211 545 600 1 Fax: 211 545 649
</w:t>
        <w:br/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Capital Estatutário: 26.260.689,00 Euros N.2 único de matrícula na C.R,C.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72" w:top="512" w:right="1369" w:left="1489" w:header="720" w:footer="720"/>
          <w:titlePg w:val="false"/>
        </w:sectPr>
      </w:pPr>
    </w:p>
    <w:p>
      <w:pPr>
        <w:ind w:right="0" w:left="0" w:firstLine="0"/>
        <w:spacing w:before="0" w:after="0" w:line="397" w:lineRule="exact"/>
        <w:jc w:val="left"/>
        <w:rPr>
          <w:b w:val="true"/>
          <w:color w:val="#000000"/>
          <w:sz w:val="49"/>
          <w:lang w:val="pt-PT"/>
          <w:spacing w:val="0"/>
          <w:w w:val="70"/>
          <w:strike w:val="false"/>
          <w:vertAlign w:val="baseline"/>
          <w:rFonts w:ascii="Verdana" w:hAnsi="Verdana"/>
        </w:rPr>
      </w:pPr>
      <w:r>
        <w:pict>
          <v:line strokeweight="0.7pt" strokecolor="#0D1621" from="-6.05pt,0.9pt" to="-6.05pt,29.0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9"/>
          <w:lang w:val="pt-PT"/>
          <w:spacing w:val="0"/>
          <w:w w:val="70"/>
          <w:strike w:val="false"/>
          <w:vertAlign w:val="baseline"/>
          <w:rFonts w:ascii="Verdana" w:hAnsi="Verdana"/>
        </w:rPr>
        <w:t xml:space="preserve">SPMS.</w:t>
      </w:r>
    </w:p>
    <w:p>
      <w:pPr>
        <w:ind w:right="0" w:left="0" w:firstLine="0"/>
        <w:spacing w:before="0" w:after="0" w:line="273" w:lineRule="auto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1440" w:firstLine="0"/>
        <w:spacing w:before="756" w:after="0" w:line="422" w:lineRule="auto"/>
        <w:jc w:val="left"/>
        <w:rPr>
          <w:color w:val="#000000"/>
          <w:sz w:val="19"/>
          <w:lang w:val="pt-PT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10"/>
          <w:w w:val="100"/>
          <w:strike w:val="false"/>
          <w:vertAlign w:val="baseline"/>
          <w:rFonts w:ascii="Tahoma" w:hAnsi="Tahoma"/>
        </w:rPr>
        <w:t xml:space="preserve">especificação/implementação de outras funcionalidades que se enquadrem no </w:t>
      </w:r>
      <w:r>
        <w:rPr>
          <w:color w:val="#000000"/>
          <w:sz w:val="19"/>
          <w:lang w:val="pt-PT"/>
          <w:spacing w:val="5"/>
          <w:w w:val="100"/>
          <w:strike w:val="false"/>
          <w:vertAlign w:val="baseline"/>
          <w:rFonts w:ascii="Tahoma" w:hAnsi="Tahoma"/>
        </w:rPr>
        <w:t xml:space="preserve">âmbito dos objetivos definidos neste documento.</w:t>
      </w:r>
    </w:p>
    <w:p>
      <w:pPr>
        <w:ind w:right="0" w:left="720" w:firstLine="0"/>
        <w:spacing w:before="288" w:after="0" w:line="240" w:lineRule="auto"/>
        <w:jc w:val="left"/>
        <w:rPr>
          <w:b w:val="true"/>
          <w:color w:val="#000000"/>
          <w:sz w:val="19"/>
          <w:lang w:val="pt-PT"/>
          <w:spacing w:val="-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pt-PT"/>
          <w:spacing w:val="-5"/>
          <w:w w:val="100"/>
          <w:strike w:val="false"/>
          <w:vertAlign w:val="baseline"/>
          <w:rFonts w:ascii="Arial" w:hAnsi="Arial"/>
        </w:rPr>
        <w:t xml:space="preserve">II </w:t>
      </w:r>
      <w:r>
        <w:rPr>
          <w:b w:val="true"/>
          <w:color w:val="#000000"/>
          <w:sz w:val="6"/>
          <w:lang w:val="pt-PT"/>
          <w:spacing w:val="-5"/>
          <w:w w:val="100"/>
          <w:strike w:val="false"/>
          <w:vertAlign w:val="baseline"/>
          <w:rFonts w:ascii="Arial" w:hAnsi="Arial"/>
        </w:rPr>
        <w:t xml:space="preserve">— </w:t>
      </w:r>
      <w:r>
        <w:rPr>
          <w:b w:val="true"/>
          <w:color w:val="#000000"/>
          <w:sz w:val="19"/>
          <w:lang w:val="pt-PT"/>
          <w:spacing w:val="-5"/>
          <w:w w:val="100"/>
          <w:strike w:val="false"/>
          <w:vertAlign w:val="baseline"/>
          <w:rFonts w:ascii="Arial" w:hAnsi="Arial"/>
        </w:rPr>
        <w:t xml:space="preserve">PERFIL DOS RECURSOS HUMANOS DA EQUIPA DO FORNECEDOR DE SERVIÇOS</w:t>
      </w:r>
    </w:p>
    <w:p>
      <w:pPr>
        <w:ind w:right="0" w:left="720" w:firstLine="0"/>
        <w:spacing w:before="288" w:after="0" w:line="422" w:lineRule="auto"/>
        <w:jc w:val="both"/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Sendo a notificação de suspeitas de Reações Adversas a Medicamentos um método eficiente de geração de sinais de segurança e consequente avaliação da segurança dos medicamentos </w:t>
      </w:r>
      <w:r>
        <w:rPr>
          <w:color w:val="#000000"/>
          <w:sz w:val="19"/>
          <w:lang w:val="pt-PT"/>
          <w:spacing w:val="7"/>
          <w:w w:val="100"/>
          <w:strike w:val="false"/>
          <w:vertAlign w:val="baseline"/>
          <w:rFonts w:ascii="Tahoma" w:hAnsi="Tahoma"/>
        </w:rPr>
        <w:t xml:space="preserve">e, tendo em atenção a complexidade e criticidade da evolução pretendida, a equipa do 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fornecedor (adjudicatário) deve incluir especialistas em várias áreas técnicas que já tenham dado provas dos conhecimentos que possuem.</w:t>
      </w:r>
    </w:p>
    <w:p>
      <w:pPr>
        <w:ind w:right="0" w:left="720" w:firstLine="0"/>
        <w:spacing w:before="180" w:after="0" w:line="422" w:lineRule="auto"/>
        <w:jc w:val="left"/>
        <w:rPr>
          <w:color w:val="#000000"/>
          <w:sz w:val="19"/>
          <w:lang w:val="pt-PT"/>
          <w:spacing w:val="1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12"/>
          <w:w w:val="100"/>
          <w:strike w:val="false"/>
          <w:vertAlign w:val="baseline"/>
          <w:rFonts w:ascii="Tahoma" w:hAnsi="Tahoma"/>
        </w:rPr>
        <w:t xml:space="preserve">Assim, a equipa deverá apresentar evidências, através de Curriculum Vitae, de ter </w:t>
      </w:r>
      <w:r>
        <w:rPr>
          <w:color w:val="#000000"/>
          <w:sz w:val="19"/>
          <w:lang w:val="pt-PT"/>
          <w:spacing w:val="3"/>
          <w:w w:val="100"/>
          <w:strike w:val="false"/>
          <w:vertAlign w:val="baseline"/>
          <w:rFonts w:ascii="Tahoma" w:hAnsi="Tahoma"/>
        </w:rPr>
        <w:t xml:space="preserve">especialistas nas seguintes áreas:</w:t>
      </w:r>
    </w:p>
    <w:p>
      <w:pPr>
        <w:ind w:right="0" w:left="1080" w:firstLine="0"/>
        <w:spacing w:before="180" w:after="0" w:line="240" w:lineRule="auto"/>
        <w:jc w:val="left"/>
        <w:tabs>
          <w:tab w:val="clear" w:pos="432"/>
          <w:tab w:val="decimal" w:pos="1512"/>
        </w:tabs>
        <w:numPr>
          <w:ilvl w:val="0"/>
          <w:numId w:val="4"/>
        </w:numP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Farmacovigilância (experiência mínima 5 anos, com publicações científicas na área);</w:t>
      </w:r>
    </w:p>
    <w:p>
      <w:pPr>
        <w:ind w:right="0" w:left="1512" w:firstLine="-432"/>
        <w:spacing w:before="216" w:after="0" w:line="360" w:lineRule="auto"/>
        <w:jc w:val="left"/>
        <w:tabs>
          <w:tab w:val="clear" w:pos="432"/>
          <w:tab w:val="decimal" w:pos="1512"/>
        </w:tabs>
        <w:numPr>
          <w:ilvl w:val="0"/>
          <w:numId w:val="4"/>
        </w:numP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Mestrado em medicina, com publicações científicas na área da síntese de evidência, </w:t>
      </w:r>
      <w:r>
        <w:rPr>
          <w:color w:val="#000000"/>
          <w:sz w:val="19"/>
          <w:lang w:val="pt-PT"/>
          <w:spacing w:val="3"/>
          <w:w w:val="100"/>
          <w:strike w:val="false"/>
          <w:vertAlign w:val="baseline"/>
          <w:rFonts w:ascii="Tahoma" w:hAnsi="Tahoma"/>
        </w:rPr>
        <w:t xml:space="preserve">de modelos de decisão e das reações alérgicas;</w:t>
      </w:r>
    </w:p>
    <w:p>
      <w:pPr>
        <w:ind w:right="0" w:left="1512" w:firstLine="-432"/>
        <w:spacing w:before="180" w:after="0" w:line="360" w:lineRule="auto"/>
        <w:jc w:val="left"/>
        <w:tabs>
          <w:tab w:val="clear" w:pos="432"/>
          <w:tab w:val="decimal" w:pos="1512"/>
        </w:tabs>
        <w:numPr>
          <w:ilvl w:val="0"/>
          <w:numId w:val="4"/>
        </w:numPr>
        <w:rPr>
          <w:color w:val="#000000"/>
          <w:sz w:val="19"/>
          <w:lang w:val="pt-PT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3"/>
          <w:w w:val="100"/>
          <w:strike w:val="false"/>
          <w:vertAlign w:val="baseline"/>
          <w:rFonts w:ascii="Tahoma" w:hAnsi="Tahoma"/>
        </w:rPr>
        <w:t xml:space="preserve">Registos clínicos eletrónicos (experiência mínima 5 anos, com publicações científicas </w:t>
      </w:r>
      <w: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na área);</w:t>
      </w:r>
    </w:p>
    <w:p>
      <w:pPr>
        <w:ind w:right="0" w:left="1512" w:firstLine="-432"/>
        <w:spacing w:before="216" w:after="0" w:line="360" w:lineRule="auto"/>
        <w:jc w:val="left"/>
        <w:tabs>
          <w:tab w:val="clear" w:pos="432"/>
          <w:tab w:val="decimal" w:pos="1512"/>
        </w:tabs>
        <w:numPr>
          <w:ilvl w:val="0"/>
          <w:numId w:val="4"/>
        </w:numP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Integrações (titular de certificado de formação em tecnologia Mirth e experiência </w:t>
      </w:r>
      <w: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mínima de 5 anos);</w:t>
      </w:r>
    </w:p>
    <w:p>
      <w:pPr>
        <w:ind w:right="0" w:left="1512" w:firstLine="-432"/>
        <w:spacing w:before="180" w:after="0" w:line="240" w:lineRule="auto"/>
        <w:jc w:val="left"/>
        <w:tabs>
          <w:tab w:val="clear" w:pos="432"/>
          <w:tab w:val="decimal" w:pos="1512"/>
        </w:tabs>
        <w:numPr>
          <w:ilvl w:val="0"/>
          <w:numId w:val="4"/>
        </w:numPr>
        <w:rPr>
          <w:color w:val="#000000"/>
          <w:sz w:val="19"/>
          <w:lang w:val="pt-PT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10"/>
          <w:w w:val="100"/>
          <w:strike w:val="false"/>
          <w:vertAlign w:val="baseline"/>
          <w:rFonts w:ascii="Tahoma" w:hAnsi="Tahoma"/>
        </w:rPr>
        <w:t xml:space="preserve">Bases de dados (experiência mínima de 5 anos);</w:t>
      </w:r>
    </w:p>
    <w:p>
      <w:pPr>
        <w:ind w:right="0" w:left="1512" w:firstLine="-432"/>
        <w:spacing w:before="216" w:after="4716" w:line="240" w:lineRule="auto"/>
        <w:jc w:val="left"/>
        <w:tabs>
          <w:tab w:val="clear" w:pos="432"/>
          <w:tab w:val="decimal" w:pos="1512"/>
        </w:tabs>
        <w:numPr>
          <w:ilvl w:val="0"/>
          <w:numId w:val="4"/>
        </w:numPr>
        <w:rPr>
          <w:color w:val="#000000"/>
          <w:sz w:val="19"/>
          <w:lang w:val="pt-PT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5"/>
          <w:w w:val="100"/>
          <w:strike w:val="false"/>
          <w:vertAlign w:val="baseline"/>
          <w:rFonts w:ascii="Tahoma" w:hAnsi="Tahoma"/>
        </w:rPr>
        <w:t xml:space="preserve">Desenvolvimento de sistemas de farmacovigilância (experiência mínima de 5 anos).</w:t>
      </w:r>
    </w:p>
    <w:p>
      <w:pPr>
        <w:ind w:right="36" w:left="0" w:firstLine="0"/>
        <w:spacing w:before="0" w:after="108" w:line="196" w:lineRule="auto"/>
        <w:jc w:val="right"/>
        <w:rPr>
          <w:color w:val="#000000"/>
          <w:sz w:val="15"/>
          <w:lang w:val="pt-PT"/>
          <w:spacing w:val="-10"/>
          <w:w w:val="105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pt-PT"/>
          <w:spacing w:val="-10"/>
          <w:w w:val="105"/>
          <w:strike w:val="false"/>
          <w:vertAlign w:val="baseline"/>
          <w:rFonts w:ascii="Verdana" w:hAnsi="Verdana"/>
        </w:rPr>
        <w:t xml:space="preserve">32 de 32</w:t>
      </w:r>
    </w:p>
    <w:p>
      <w:pPr>
        <w:ind w:right="0" w:left="288" w:firstLine="0"/>
        <w:spacing w:before="36" w:after="0" w:line="278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15453" from="26.9pt,0.25pt" to="437.7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na 61 1050-189 Lisboa Tel.: 211 545 600 1 Fax: 211 545 649
</w:t>
        <w:br/>
      </w:r>
      <w:r>
        <w:rPr>
          <w:color w:val="#000000"/>
          <w:sz w:val="12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Capital Estatutário: 26.260.689,00 Euros N. único de matrícula na C.R.C. Lisboa e de pessoa coletiva 509 540716</w:t>
      </w:r>
    </w:p>
    <w:sectPr>
      <w:pgSz w:w="11918" w:h="16854" w:orient="portrait"/>
      <w:type w:val="nextPage"/>
      <w:textDirection w:val="lrTb"/>
      <w:pgMar w:bottom="490" w:top="514" w:right="1399" w:left="145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Courier New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o"/>
      <w:start w:val="1"/>
      <w:lvlJc w:val="left"/>
      <w:pPr>
        <w:ind w:left="720"/>
        <w:tabs>
          <w:tab w:val="decimal" w:pos="216"/>
        </w:tabs>
      </w:pPr>
      <w:rPr>
        <w:color w:val="#000000"/>
        <w:sz w:val="18"/>
        <w:lang w:val="pt-PT"/>
        <w:spacing w:val="0"/>
        <w:w w:val="100"/>
        <w:strike w:val="false"/>
        <w:vertAlign w:val="baseline"/>
        <w:rFonts w:ascii="Courier New" w:hAnsi="Courier New"/>
      </w:rPr>
    </w:lvl>
  </w:abstractNum>
  <w:abstractNum w:abstractNumId="2">
    <w:lvl w:ilvl="0">
      <w:numFmt w:val="bullet"/>
      <w:lvlText w:val="o"/>
      <w:start w:val="1"/>
      <w:lvlJc w:val="left"/>
      <w:pPr>
        <w:ind w:left="720"/>
        <w:tabs>
          <w:tab w:val="decimal" w:pos="288"/>
        </w:tabs>
      </w:pPr>
      <w:rPr>
        <w:color w:val="#000000"/>
        <w:sz w:val="18"/>
        <w:lang w:val="pt-PT"/>
        <w:spacing w:val="-4"/>
        <w:w w:val="100"/>
        <w:strike w:val="false"/>
        <w:vertAlign w:val="baseline"/>
        <w:rFonts w:ascii="Courier New" w:hAnsi="Courier New"/>
      </w:rPr>
    </w:lvl>
  </w:abstractNum>
  <w:abstractNum w:abstractNumId="3">
    <w:lvl w:ilvl="0">
      <w:numFmt w:val="bullet"/>
      <w:lvlText w:val="o"/>
      <w:start w:val="1"/>
      <w:lvlJc w:val="left"/>
      <w:pPr>
        <w:ind w:left="720"/>
        <w:tabs>
          <w:tab w:val="decimal" w:pos="432"/>
        </w:tabs>
      </w:pPr>
      <w:rPr>
        <w:color w:val="#000000"/>
        <w:sz w:val="19"/>
        <w:lang w:val="pt-PT"/>
        <w:spacing w:val="4"/>
        <w:w w:val="100"/>
        <w:strike w:val="false"/>
        <w:vertAlign w:val="baseline"/>
        <w:rFonts w:ascii="Courier New" w:hAnsi="Courier New"/>
      </w:rPr>
    </w:lvl>
  </w:abstract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