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0897" w14:textId="77777777" w:rsidR="001627A1" w:rsidRDefault="001627A1">
      <w:pPr>
        <w:pStyle w:val="center"/>
      </w:pPr>
      <w:r>
        <w:rPr>
          <w:b/>
          <w:bCs/>
        </w:rPr>
        <w:t>PosTech FIAP — Pós-Graduação em Arquitetura de Software</w:t>
      </w:r>
      <w:r>
        <w:br/>
        <w:t>Turma SOAT — Fase 2</w:t>
      </w:r>
    </w:p>
    <w:p w14:paraId="39AE5116" w14:textId="77777777" w:rsidR="001627A1" w:rsidRDefault="001627A1">
      <w:pPr>
        <w:spacing w:after="240"/>
        <w:jc w:val="both"/>
        <w:rPr>
          <w:rFonts w:eastAsia="Times New Roman"/>
        </w:rPr>
      </w:pPr>
    </w:p>
    <w:p w14:paraId="6F6996BA" w14:textId="77777777" w:rsidR="001627A1" w:rsidRDefault="001627A1">
      <w:pPr>
        <w:pStyle w:val="Ttulo1"/>
        <w:rPr>
          <w:rFonts w:eastAsia="Times New Roman"/>
        </w:rPr>
      </w:pPr>
      <w:r>
        <w:rPr>
          <w:rFonts w:eastAsia="Times New Roman"/>
        </w:rPr>
        <w:t>SISTEMA INTEGRADO DE ATENDIMENTO E EXECUÇÃO DE SERVIÇOS</w:t>
      </w:r>
    </w:p>
    <w:p w14:paraId="40C84053" w14:textId="77777777" w:rsidR="001627A1" w:rsidRDefault="001627A1">
      <w:pPr>
        <w:pStyle w:val="center"/>
      </w:pPr>
      <w:r>
        <w:rPr>
          <w:b/>
          <w:bCs/>
        </w:rPr>
        <w:t>Tech Challenge — Fase 2</w:t>
      </w:r>
    </w:p>
    <w:p w14:paraId="5D589993" w14:textId="77777777" w:rsidR="001627A1" w:rsidRDefault="001627A1">
      <w:pPr>
        <w:jc w:val="both"/>
        <w:rPr>
          <w:rFonts w:eastAsia="Times New Roman"/>
        </w:rPr>
      </w:pPr>
    </w:p>
    <w:p w14:paraId="2B088C0C" w14:textId="77777777" w:rsidR="001627A1" w:rsidRDefault="001627A1">
      <w:pPr>
        <w:pStyle w:val="center"/>
      </w:pPr>
      <w:r>
        <w:rPr>
          <w:i/>
          <w:iCs/>
        </w:rPr>
        <w:t>Documento de Entrega</w:t>
      </w:r>
    </w:p>
    <w:p w14:paraId="01F17491" w14:textId="77777777" w:rsidR="001627A1" w:rsidRDefault="001627A1">
      <w:pPr>
        <w:spacing w:after="240"/>
        <w:jc w:val="both"/>
        <w:rPr>
          <w:rFonts w:eastAsia="Times New Roman"/>
        </w:rPr>
      </w:pPr>
      <w:r>
        <w:rPr>
          <w:rFonts w:eastAsia="Times New Roman"/>
        </w:rPr>
        <w:br/>
      </w:r>
    </w:p>
    <w:p w14:paraId="271187BD" w14:textId="77777777" w:rsidR="001627A1" w:rsidRDefault="001627A1">
      <w:pPr>
        <w:pStyle w:val="center"/>
      </w:pPr>
      <w:r>
        <w:rPr>
          <w:b/>
          <w:bCs/>
        </w:rPr>
        <w:t>Participantes:</w:t>
      </w:r>
    </w:p>
    <w:p w14:paraId="669125D1" w14:textId="77777777" w:rsidR="001627A1" w:rsidRDefault="001627A1">
      <w:pPr>
        <w:pStyle w:val="center"/>
      </w:pPr>
      <w:r>
        <w:t>Danilo Canato — RM 372411 — Discord: @canatodanilo</w:t>
      </w:r>
      <w:r>
        <w:br/>
        <w:t>Guilherme Fumagali Marques — RM 372421 — Discord: @gfumagali</w:t>
      </w:r>
    </w:p>
    <w:p w14:paraId="6964B0B2" w14:textId="77777777" w:rsidR="001627A1" w:rsidRDefault="001627A1">
      <w:pPr>
        <w:spacing w:after="240"/>
        <w:jc w:val="both"/>
        <w:rPr>
          <w:rFonts w:eastAsia="Times New Roman"/>
        </w:rPr>
      </w:pPr>
    </w:p>
    <w:p w14:paraId="56DB7A79" w14:textId="77777777" w:rsidR="001627A1" w:rsidRDefault="001627A1">
      <w:pPr>
        <w:pStyle w:val="center"/>
      </w:pPr>
      <w:r>
        <w:t>São Paulo, julho de 2026</w:t>
      </w:r>
    </w:p>
    <w:p w14:paraId="3CF65DAE" w14:textId="77777777" w:rsidR="001627A1" w:rsidRDefault="001627A1">
      <w:pPr>
        <w:spacing w:before="320" w:after="320"/>
        <w:jc w:val="both"/>
        <w:rPr>
          <w:rFonts w:eastAsia="Times New Roman"/>
        </w:rPr>
      </w:pPr>
      <w:r>
        <w:rPr>
          <w:rFonts w:eastAsia="Times New Roman"/>
        </w:rPr>
        <w:pict w14:anchorId="36A76077">
          <v:rect id="_x0000_i1025" style="width:0;height:1.5pt" o:hralign="center" o:hrstd="t" o:hr="t" fillcolor="#a0a0a0" stroked="f"/>
        </w:pict>
      </w:r>
    </w:p>
    <w:p w14:paraId="5274C15D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Referências de Entrega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5387"/>
      </w:tblGrid>
      <w:tr w:rsidR="00000000" w14:paraId="3B6940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AEEDD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A8B92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Link / Local</w:t>
            </w:r>
          </w:p>
        </w:tc>
      </w:tr>
      <w:tr w:rsidR="00000000" w14:paraId="1721B6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B330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Repositório GitHub (compartilhado com </w:t>
            </w:r>
            <w:r>
              <w:rPr>
                <w:rStyle w:val="CdigoHTML"/>
              </w:rPr>
              <w:t>soat-architecture</w:t>
            </w:r>
            <w:r>
              <w:rPr>
                <w:rFonts w:eastAsia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181E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https://github.com/Guilherme-Fumagali/tech-challenge-1</w:t>
            </w:r>
          </w:p>
        </w:tc>
      </w:tr>
      <w:tr w:rsidR="00000000" w14:paraId="25278C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01ED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Vídeo de demonstração (até 15 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CC612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color w:val="B45309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B45309"/>
                <w:sz w:val="22"/>
                <w:szCs w:val="22"/>
              </w:rPr>
              <w:t>[LINK DO VÍDEO]</w:t>
            </w:r>
          </w:p>
        </w:tc>
      </w:tr>
      <w:tr w:rsidR="00000000" w14:paraId="6B1CE3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1CD2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Collection das APIs (Swagger UI)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8E10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http://localhost:8080/swagger-ui.html</w:t>
            </w:r>
            <w:r>
              <w:rPr>
                <w:rFonts w:eastAsia="Times New Roman"/>
                <w:sz w:val="22"/>
                <w:szCs w:val="22"/>
              </w:rPr>
              <w:t xml:space="preserve"> — </w:t>
            </w:r>
            <w:r>
              <w:rPr>
                <w:rStyle w:val="placeholder1"/>
                <w:rFonts w:eastAsia="Times New Roman"/>
                <w:sz w:val="22"/>
                <w:szCs w:val="22"/>
              </w:rPr>
              <w:t>[LINK PÚBLICO DA COLLECTION]</w:t>
            </w:r>
          </w:p>
        </w:tc>
      </w:tr>
      <w:tr w:rsidR="00000000" w14:paraId="4EDE74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783D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Desenho da arquitetura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A9F4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placeholder1"/>
                <w:rFonts w:eastAsia="Times New Roman"/>
                <w:sz w:val="22"/>
                <w:szCs w:val="22"/>
              </w:rPr>
              <w:t>[IMAGEM/LINK DO DIAGRAMA]</w:t>
            </w:r>
            <w:r>
              <w:rPr>
                <w:rFonts w:eastAsia="Times New Roman"/>
                <w:sz w:val="22"/>
                <w:szCs w:val="22"/>
              </w:rPr>
              <w:t xml:space="preserve"> (versão texto na seção 3)</w:t>
            </w:r>
          </w:p>
        </w:tc>
      </w:tr>
      <w:tr w:rsidR="00000000" w14:paraId="01CEBF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2E56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Manifests Kubernetes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6B30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k8s/</w:t>
            </w:r>
          </w:p>
        </w:tc>
      </w:tr>
      <w:tr w:rsidR="00000000" w14:paraId="6602C9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6696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Scripts Terraform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723B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infra/</w:t>
            </w:r>
            <w:r>
              <w:rPr>
                <w:rFonts w:eastAsia="Times New Roman"/>
                <w:sz w:val="22"/>
                <w:szCs w:val="22"/>
              </w:rPr>
              <w:t xml:space="preserve"> (+ </w:t>
            </w:r>
            <w:r>
              <w:rPr>
                <w:rStyle w:val="CdigoHTML"/>
              </w:rPr>
              <w:t>infra/README.md</w:t>
            </w:r>
            <w:r>
              <w:rPr>
                <w:rFonts w:eastAsia="Times New Roman"/>
                <w:sz w:val="22"/>
                <w:szCs w:val="22"/>
              </w:rPr>
              <w:t xml:space="preserve"> com recursos criados e como aplicar)</w:t>
            </w:r>
          </w:p>
        </w:tc>
      </w:tr>
      <w:tr w:rsidR="00000000" w14:paraId="0B0110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62441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Pipelines CI/CD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99A4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.github/workflows/ci-cd.yml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terraform.yml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destroy-aws.yml</w:t>
            </w:r>
          </w:p>
        </w:tc>
      </w:tr>
      <w:tr w:rsidR="00000000" w14:paraId="24A44C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015F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Documentação DDD (incl. Domain Storytelling)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8766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docs/ddd/</w:t>
            </w:r>
          </w:p>
        </w:tc>
      </w:tr>
    </w:tbl>
    <w:p w14:paraId="4E2705D2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1. Introdução e Contexto do Problema</w:t>
      </w:r>
    </w:p>
    <w:p w14:paraId="4A172334" w14:textId="77777777" w:rsidR="001627A1" w:rsidRDefault="001627A1">
      <w:pPr>
        <w:pStyle w:val="NormalWeb"/>
        <w:jc w:val="both"/>
      </w:pPr>
      <w:r>
        <w:t>Após a implantação do MVP da Fase 1, a oficina mecânica ganhou eficiência no atendimento — mas o crescimento da demanda e a expansão para novas unidades expuseram os limites de uma aplicação executada em um único contêiner: indisponibilidade em picos, deploy manual e nenhuma elasticidade.</w:t>
      </w:r>
    </w:p>
    <w:p w14:paraId="74AE5A87" w14:textId="77777777" w:rsidR="001627A1" w:rsidRDefault="001627A1">
      <w:pPr>
        <w:pStyle w:val="NormalWeb"/>
        <w:jc w:val="both"/>
      </w:pPr>
      <w:r>
        <w:t>O Tech Challenge Fase 2 propõe evoluir essa aplicação em duas frentes. Na frente de negócio, completar os fluxos que ficaram em aberto no MVP: a listagem operacional de Ordens de Serviço priorizada por status, a exclusão lógica de OS encerradas e a aprovação de orçamento pelo próprio cliente, sem login, a partir de uma notificação real por e-mail. Na frente de infraestrutura, tornar o sistema escalável e reprodutível: orquestração com Kubernetes, provisionamento com Terraform (local e AWS) e pipeline de CI/</w:t>
      </w:r>
      <w:r>
        <w:t>CD que leva um push na branch principal até o cluster com aprovação humana nos pontos que geram custo.</w:t>
      </w:r>
    </w:p>
    <w:p w14:paraId="5FD3E8AC" w14:textId="77777777" w:rsidR="001627A1" w:rsidRDefault="001627A1">
      <w:pPr>
        <w:pStyle w:val="NormalWeb"/>
        <w:jc w:val="both"/>
      </w:pPr>
      <w:r>
        <w:t>Este documento descreve as funcionalidades adicionadas, as decisões de arquitetura de infraestrutura e as garantias de qualidade mantidas da Fase 1 — incluindo a quitação dos débitos técnicos registrados no documento anterior.</w:t>
      </w:r>
    </w:p>
    <w:p w14:paraId="5F920398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2. Evolução da Aplicação</w:t>
      </w:r>
    </w:p>
    <w:p w14:paraId="7FA0DABF" w14:textId="77777777" w:rsidR="001627A1" w:rsidRDefault="001627A1">
      <w:pPr>
        <w:pStyle w:val="NormalWeb"/>
        <w:jc w:val="both"/>
      </w:pPr>
      <w:r>
        <w:t>A base arquitetural da Fase 1 (Clean Architecture com domínio livre de framework) foi preservada: toda funcionalidade nova nasceu como regra de domínio testada em isolamento, orquestrada por use case e exposta por adapter — nenhuma exceção.</w:t>
      </w:r>
    </w:p>
    <w:p w14:paraId="58F4CD3E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2.1 Listagem de OS ordenada por prioridade de negócio</w:t>
      </w:r>
    </w:p>
    <w:p w14:paraId="4272A71A" w14:textId="77777777" w:rsidR="001627A1" w:rsidRDefault="001627A1">
      <w:pPr>
        <w:pStyle w:val="NormalWeb"/>
        <w:jc w:val="both"/>
      </w:pPr>
      <w:r>
        <w:t>O requisito define uma ordem de atendimento que não é cronológica nem alfabética:</w:t>
      </w:r>
    </w:p>
    <w:p w14:paraId="438179A5" w14:textId="77777777" w:rsidR="001627A1" w:rsidRDefault="001627A1">
      <w:pPr>
        <w:jc w:val="both"/>
        <w:divId w:val="678198872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Em Execução &gt; Aguardando Aprovação &gt; Em Diagnóstico &gt; Recebida — e, dentro do mesmo status, as mais antigas primeiro.</w:t>
      </w:r>
    </w:p>
    <w:p w14:paraId="592489AE" w14:textId="77777777" w:rsidR="001627A1" w:rsidRDefault="001627A1">
      <w:pPr>
        <w:pStyle w:val="NormalWeb"/>
        <w:jc w:val="both"/>
      </w:pPr>
      <w:r>
        <w:lastRenderedPageBreak/>
        <w:t xml:space="preserve">A ordenação é resolvida no banco, não em memória Java, via </w:t>
      </w:r>
      <w:r>
        <w:rPr>
          <w:rStyle w:val="CdigoHTML"/>
        </w:rPr>
        <w:t>CASE</w:t>
      </w:r>
      <w:r>
        <w:t xml:space="preserve"> no JPQL (</w:t>
      </w:r>
      <w:r>
        <w:rPr>
          <w:rStyle w:val="CdigoHTML"/>
        </w:rPr>
        <w:t>OrdemServicoJpaRepository.findAtivasOrdenadasPorPrioridade()</w:t>
      </w:r>
      <w:r>
        <w:t>):</w:t>
      </w:r>
    </w:p>
    <w:p w14:paraId="69C2B0C6" w14:textId="77777777" w:rsidR="001627A1" w:rsidRDefault="001627A1">
      <w:pPr>
        <w:pStyle w:val="Pr-formataoHTML"/>
        <w:jc w:val="both"/>
      </w:pPr>
      <w:r>
        <w:t>ORDER BY CASE os.status</w:t>
      </w:r>
    </w:p>
    <w:p w14:paraId="6D049097" w14:textId="77777777" w:rsidR="001627A1" w:rsidRDefault="001627A1">
      <w:pPr>
        <w:pStyle w:val="Pr-formataoHTML"/>
        <w:jc w:val="both"/>
      </w:pPr>
      <w:r>
        <w:t xml:space="preserve">    WHEN 'EM_EXECUCAO'          THEN 0</w:t>
      </w:r>
    </w:p>
    <w:p w14:paraId="632BE9F0" w14:textId="77777777" w:rsidR="001627A1" w:rsidRDefault="001627A1">
      <w:pPr>
        <w:pStyle w:val="Pr-formataoHTML"/>
        <w:jc w:val="both"/>
      </w:pPr>
      <w:r>
        <w:t xml:space="preserve">    WHEN 'AGUARDANDO_APROVACAO' THEN 1</w:t>
      </w:r>
    </w:p>
    <w:p w14:paraId="26BA8A69" w14:textId="77777777" w:rsidR="001627A1" w:rsidRDefault="001627A1">
      <w:pPr>
        <w:pStyle w:val="Pr-formataoHTML"/>
        <w:jc w:val="both"/>
      </w:pPr>
      <w:r>
        <w:t xml:space="preserve">    </w:t>
      </w:r>
      <w:r>
        <w:t>WHEN 'EM_DIAGNOSTICO'       THEN 2</w:t>
      </w:r>
    </w:p>
    <w:p w14:paraId="5D5C9909" w14:textId="77777777" w:rsidR="001627A1" w:rsidRDefault="001627A1">
      <w:pPr>
        <w:pStyle w:val="Pr-formataoHTML"/>
        <w:jc w:val="both"/>
      </w:pPr>
      <w:r>
        <w:t xml:space="preserve">    WHEN 'RECEBIDA'             THEN 3</w:t>
      </w:r>
    </w:p>
    <w:p w14:paraId="4467E5A1" w14:textId="77777777" w:rsidR="001627A1" w:rsidRDefault="001627A1">
      <w:pPr>
        <w:pStyle w:val="Pr-formataoHTML"/>
        <w:jc w:val="both"/>
      </w:pPr>
      <w:r>
        <w:t xml:space="preserve">    ELSE 4</w:t>
      </w:r>
    </w:p>
    <w:p w14:paraId="60E138E3" w14:textId="77777777" w:rsidR="001627A1" w:rsidRDefault="001627A1">
      <w:pPr>
        <w:pStyle w:val="Pr-formataoHTML"/>
        <w:jc w:val="both"/>
      </w:pPr>
      <w:r>
        <w:t>END, os.dataAbertura ASC</w:t>
      </w:r>
    </w:p>
    <w:p w14:paraId="3B504FC8" w14:textId="77777777" w:rsidR="001627A1" w:rsidRDefault="001627A1">
      <w:pPr>
        <w:pStyle w:val="NormalWeb"/>
        <w:jc w:val="both"/>
      </w:pPr>
      <w:r>
        <w:t>Resolver no banco evita carregar a tabela inteira para ordenar na aplicação — decisão alinhada ao objetivo da fase (grandes volumes de OS em horário de pico).</w:t>
      </w:r>
    </w:p>
    <w:p w14:paraId="1311740A" w14:textId="77777777" w:rsidR="001627A1" w:rsidRDefault="001627A1">
      <w:pPr>
        <w:pStyle w:val="NormalWeb"/>
        <w:jc w:val="both"/>
      </w:pPr>
      <w:r>
        <w:rPr>
          <w:b/>
          <w:bCs/>
        </w:rPr>
        <w:t>Exclusão lógica.</w:t>
      </w:r>
      <w:r>
        <w:t xml:space="preserve"> OS </w:t>
      </w:r>
      <w:r>
        <w:rPr>
          <w:i/>
          <w:iCs/>
        </w:rPr>
        <w:t>Finalizada</w:t>
      </w:r>
      <w:r>
        <w:t xml:space="preserve"> e </w:t>
      </w:r>
      <w:r>
        <w:rPr>
          <w:i/>
          <w:iCs/>
        </w:rPr>
        <w:t>Entregue</w:t>
      </w:r>
      <w:r>
        <w:t xml:space="preserve"> saem da listagem, mas nunca do banco — o requisito veda exclusão física, e o histórico alimenta o relatório de tempo médio. A transição de estado no domínio (</w:t>
      </w:r>
      <w:r>
        <w:rPr>
          <w:rStyle w:val="CdigoHTML"/>
        </w:rPr>
        <w:t>concluir()</w:t>
      </w:r>
      <w:r>
        <w:t xml:space="preserve">) marca </w:t>
      </w:r>
      <w:r>
        <w:rPr>
          <w:rStyle w:val="CdigoHTML"/>
        </w:rPr>
        <w:t>excluidaLogicamente = true</w:t>
      </w:r>
      <w:r>
        <w:t xml:space="preserve"> e grava </w:t>
      </w:r>
      <w:r>
        <w:rPr>
          <w:rStyle w:val="CdigoHTML"/>
        </w:rPr>
        <w:t>dataExclusaoLogica</w:t>
      </w:r>
      <w:r>
        <w:t xml:space="preserve">; a query filtra por essa flag. Não existe endpoint de </w:t>
      </w:r>
      <w:r>
        <w:rPr>
          <w:rStyle w:val="CdigoHTML"/>
        </w:rPr>
        <w:t>DELETE</w:t>
      </w:r>
      <w:r>
        <w:t xml:space="preserve"> para 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799"/>
      </w:tblGrid>
      <w:tr w:rsidR="00000000" w14:paraId="61080F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D68F2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FC010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Comportamento</w:t>
            </w:r>
          </w:p>
        </w:tc>
      </w:tr>
      <w:tr w:rsidR="00000000" w14:paraId="3C5EC7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45F7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 /api/ordens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FCA3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Lista ativas, ordenadas por prioridade + antiguidade</w:t>
            </w:r>
          </w:p>
        </w:tc>
      </w:tr>
      <w:tr w:rsidR="00000000" w14:paraId="1B447D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A3F0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 /api/ordens/{id}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071A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OS individual continua acessível mesmo após exclusão lógica</w:t>
            </w:r>
          </w:p>
        </w:tc>
      </w:tr>
    </w:tbl>
    <w:p w14:paraId="2D97A6DB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2.2 Aprovação externa de orçamento via token</w:t>
      </w:r>
    </w:p>
    <w:p w14:paraId="2DE8DD13" w14:textId="77777777" w:rsidR="001627A1" w:rsidRDefault="001627A1">
      <w:pPr>
        <w:pStyle w:val="NormalWeb"/>
        <w:jc w:val="both"/>
      </w:pPr>
      <w:r>
        <w:t xml:space="preserve">O requisito pede um endpoint que receba notificações externas de aprovação ou recusa do orçamento. A solução implementada vai além de um webhook aberto: cada orçamento gerado emite um </w:t>
      </w:r>
      <w:r>
        <w:rPr>
          <w:b/>
          <w:bCs/>
        </w:rPr>
        <w:t>token de uso único por OS</w:t>
      </w:r>
      <w:r>
        <w:t>, que autoriza exatamente uma decisão — aprovar ou reprovar — sem exigir cadastro ou login do cliente.</w:t>
      </w:r>
    </w:p>
    <w:p w14:paraId="5976009C" w14:textId="77777777" w:rsidR="001627A1" w:rsidRDefault="001627A1">
      <w:pPr>
        <w:pStyle w:val="NormalWeb"/>
        <w:jc w:val="both"/>
      </w:pPr>
      <w:r>
        <w:rPr>
          <w:b/>
          <w:bCs/>
        </w:rPr>
        <w:t>Propriedades do token</w:t>
      </w:r>
      <w:r>
        <w:t xml:space="preserve"> (</w:t>
      </w:r>
      <w:r>
        <w:rPr>
          <w:rStyle w:val="CdigoHTML"/>
        </w:rPr>
        <w:t>domain/valueobject/TokenAprovacaoExterna</w:t>
      </w:r>
      <w: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696"/>
      </w:tblGrid>
      <w:tr w:rsidR="00000000" w14:paraId="7E21F3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2514B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Propriedade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55DF3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Implementação</w:t>
            </w:r>
          </w:p>
        </w:tc>
      </w:tr>
      <w:tr w:rsidR="00000000" w14:paraId="36DDC7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6F5C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Imprevisibilidade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088D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32 bytes de </w:t>
            </w:r>
            <w:r>
              <w:rPr>
                <w:rStyle w:val="CdigoHTML"/>
              </w:rPr>
              <w:t>SecureRandom</w:t>
            </w:r>
            <w:r>
              <w:rPr>
                <w:rFonts w:eastAsia="Times New Roman"/>
                <w:sz w:val="22"/>
                <w:szCs w:val="22"/>
              </w:rPr>
              <w:t>, codificados em Base64 URL-safe (43 caracteres)</w:t>
            </w:r>
          </w:p>
        </w:tc>
      </w:tr>
      <w:tr w:rsidR="00000000" w14:paraId="75F84B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B3DD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Escopo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129A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Um token por OS, gerado em </w:t>
            </w:r>
            <w:r>
              <w:rPr>
                <w:rStyle w:val="CdigoHTML"/>
              </w:rPr>
              <w:t>gerarOrcamento()</w:t>
            </w:r>
            <w:r>
              <w:rPr>
                <w:rFonts w:eastAsia="Times New Roman"/>
                <w:sz w:val="22"/>
                <w:szCs w:val="22"/>
              </w:rPr>
              <w:t xml:space="preserve"> — não existe token global</w:t>
            </w:r>
          </w:p>
        </w:tc>
      </w:tr>
      <w:tr w:rsidR="00000000" w14:paraId="281072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A366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Expiração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6023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7 dias (configurável por </w:t>
            </w:r>
            <w:r>
              <w:rPr>
                <w:rStyle w:val="CdigoHTML"/>
              </w:rPr>
              <w:t>Duration</w:t>
            </w:r>
            <w:r>
              <w:rPr>
                <w:rFonts w:eastAsia="Times New Roman"/>
                <w:sz w:val="22"/>
                <w:szCs w:val="22"/>
              </w:rPr>
              <w:t>); comparação em UTC</w:t>
            </w:r>
          </w:p>
        </w:tc>
      </w:tr>
      <w:tr w:rsidR="00000000" w14:paraId="512086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5C25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Uso único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D18E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Qualquer decisão (aprovar ou reprovar) invalida o token imediatamente</w:t>
            </w:r>
          </w:p>
        </w:tc>
      </w:tr>
      <w:tr w:rsidR="00000000" w14:paraId="3054B0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19B6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4754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No agregado </w:t>
            </w:r>
            <w:r>
              <w:rPr>
                <w:rStyle w:val="CdigoHTML"/>
              </w:rPr>
              <w:t>OrdemServico</w:t>
            </w:r>
            <w:r>
              <w:rPr>
                <w:rFonts w:eastAsia="Times New Roman"/>
                <w:sz w:val="22"/>
                <w:szCs w:val="22"/>
              </w:rPr>
              <w:t>, não no controller — a regra vale para qualquer adapter</w:t>
            </w:r>
          </w:p>
        </w:tc>
      </w:tr>
    </w:tbl>
    <w:p w14:paraId="3BF60C27" w14:textId="77777777" w:rsidR="001627A1" w:rsidRDefault="001627A1">
      <w:pPr>
        <w:pStyle w:val="NormalWeb"/>
        <w:jc w:val="both"/>
      </w:pPr>
      <w:r>
        <w:rPr>
          <w:b/>
          <w:bCs/>
        </w:rPr>
        <w:t>Endpoints</w:t>
      </w:r>
      <w:r>
        <w:t xml:space="preserve"> (públicos por decisão de negócio — a posse do token é a credencial):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4020"/>
        <w:gridCol w:w="3507"/>
      </w:tblGrid>
      <w:tr w:rsidR="00000000" w14:paraId="788ACE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CFB0C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7F51E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3601C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Consumidor</w:t>
            </w:r>
          </w:p>
        </w:tc>
      </w:tr>
      <w:tr w:rsidR="00000000" w14:paraId="5453EE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AB3F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745A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/api/ordens/{id}/aprovar-externo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8DF1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Integrações (corpo JSON com token e decisão </w:t>
            </w:r>
            <w:r>
              <w:rPr>
                <w:rStyle w:val="CdigoHTML"/>
              </w:rPr>
              <w:t>APROVAR</w:t>
            </w:r>
            <w:r>
              <w:rPr>
                <w:rFonts w:eastAsia="Times New Roman"/>
                <w:sz w:val="22"/>
                <w:szCs w:val="22"/>
              </w:rPr>
              <w:t>/</w:t>
            </w:r>
            <w:r>
              <w:rPr>
                <w:rStyle w:val="CdigoHTML"/>
              </w:rPr>
              <w:t>REPROVAR</w:t>
            </w:r>
            <w:r>
              <w:rPr>
                <w:rFonts w:eastAsia="Times New Roman"/>
                <w:sz w:val="22"/>
                <w:szCs w:val="22"/>
              </w:rPr>
              <w:t>)</w:t>
            </w:r>
          </w:p>
        </w:tc>
      </w:tr>
      <w:tr w:rsidR="00000000" w14:paraId="1DAE49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5B06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D611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/api/ordens/{id}/aprovar-externo?token=...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3A5D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Botão "Aprovar" do e-mail</w:t>
            </w:r>
          </w:p>
        </w:tc>
      </w:tr>
      <w:tr w:rsidR="00000000" w14:paraId="49AC91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795C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92BE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/api/ordens/{id}/reprovar-externo?token=...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5795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Botão "Reprovar" do e-mail</w:t>
            </w:r>
          </w:p>
        </w:tc>
      </w:tr>
    </w:tbl>
    <w:p w14:paraId="7C6498E8" w14:textId="77777777" w:rsidR="001627A1" w:rsidRDefault="001627A1">
      <w:pPr>
        <w:pStyle w:val="NormalWeb"/>
        <w:jc w:val="both"/>
      </w:pPr>
      <w:r>
        <w:t xml:space="preserve">Os endpoints </w:t>
      </w:r>
      <w:r>
        <w:rPr>
          <w:rStyle w:val="CdigoHTML"/>
        </w:rPr>
        <w:t>GET</w:t>
      </w:r>
      <w:r>
        <w:t xml:space="preserve"> existem por uma restrição do mundo real: um link de e-mail só consegue fazer </w:t>
      </w:r>
      <w:r>
        <w:rPr>
          <w:rStyle w:val="CdigoHTML"/>
        </w:rPr>
        <w:t>GET</w:t>
      </w:r>
      <w:r>
        <w:t xml:space="preserve">. É o mesmo padrão consolidado de links de </w:t>
      </w:r>
      <w:r>
        <w:rPr>
          <w:i/>
          <w:iCs/>
        </w:rPr>
        <w:t>unsubscribe</w:t>
      </w:r>
      <w:r>
        <w:t xml:space="preserve"> — um </w:t>
      </w:r>
      <w:r>
        <w:rPr>
          <w:rStyle w:val="CdigoHTML"/>
        </w:rPr>
        <w:t>GET</w:t>
      </w:r>
      <w:r>
        <w:t xml:space="preserve"> </w:t>
      </w:r>
      <w:r>
        <w:t>com efeito colateral, mitigado pelo token de uso único (um segundo clique, inclusive o prefetch de algum cliente de e-mail, encontra o token já invalidado e recebe uma página de erro amigável, sem efeito). Os endpoints devolvem páginas HTML de confirmação renderizadas pelo próprio backend, para que o cliente saiba o resultado da ação sem depender de front-end.</w:t>
      </w:r>
    </w:p>
    <w:p w14:paraId="3A4B0361" w14:textId="77777777" w:rsidR="001627A1" w:rsidRDefault="001627A1">
      <w:pPr>
        <w:pStyle w:val="placeholder"/>
        <w:jc w:val="both"/>
      </w:pPr>
      <w:r>
        <w:t>[PRINT: e-mail com os botões Aprovar/Reprovar no MailHog]</w:t>
      </w:r>
    </w:p>
    <w:p w14:paraId="6ACD66E5" w14:textId="77777777" w:rsidR="001627A1" w:rsidRDefault="001627A1">
      <w:pPr>
        <w:pStyle w:val="placeholder"/>
        <w:jc w:val="both"/>
      </w:pPr>
      <w:r>
        <w:t>[PRINT: página de confirmação "Orçamento aprovado!" após o clique]</w:t>
      </w:r>
    </w:p>
    <w:p w14:paraId="64F1440B" w14:textId="77777777" w:rsidR="001627A1" w:rsidRDefault="001627A1">
      <w:pPr>
        <w:pStyle w:val="NormalWeb"/>
        <w:jc w:val="both"/>
      </w:pPr>
      <w:r>
        <w:t xml:space="preserve">A reprovação externa reaproveita o mesmo caminho de domínio da reprovação interna: OS </w:t>
      </w:r>
      <w:r>
        <w:rPr>
          <w:i/>
          <w:iCs/>
        </w:rPr>
        <w:t>Cancelada</w:t>
      </w:r>
      <w:r>
        <w:t xml:space="preserve"> e </w:t>
      </w:r>
      <w:r>
        <w:rPr>
          <w:b/>
          <w:bCs/>
        </w:rPr>
        <w:t>estorno de estoque na mesma transação</w:t>
      </w:r>
      <w:r>
        <w:t xml:space="preserve">, exatamente como na Fase 1. A validação do token acontece </w:t>
      </w:r>
      <w:r>
        <w:rPr>
          <w:b/>
          <w:bCs/>
        </w:rPr>
        <w:t>antes</w:t>
      </w:r>
      <w:r>
        <w:t xml:space="preserve"> do estorno — requisição com token inválido não toca o estoque.</w:t>
      </w:r>
    </w:p>
    <w:p w14:paraId="16CC46B8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2.3 Notificação por e-mail real (SMTP)</w:t>
      </w:r>
    </w:p>
    <w:p w14:paraId="35C1C9D3" w14:textId="77777777" w:rsidR="001627A1" w:rsidRDefault="001627A1">
      <w:pPr>
        <w:pStyle w:val="NormalWeb"/>
        <w:jc w:val="both"/>
      </w:pPr>
      <w:r>
        <w:lastRenderedPageBreak/>
        <w:t>O Hot Spot PA2 da Fase 1 ("como notificar o cliente?") foi resolvido: o canal concreto é e-mail. O ACL desenhado na Fase 1 absorveu a mudança sem alterar nenhum use case — o que confirma que a fronteira estava no lugar certo:</w:t>
      </w:r>
    </w:p>
    <w:p w14:paraId="66687A58" w14:textId="77777777" w:rsidR="001627A1" w:rsidRDefault="001627A1">
      <w:pPr>
        <w:pStyle w:val="Pr-formataoHTML"/>
        <w:jc w:val="both"/>
      </w:pPr>
      <w:r>
        <w:t>application/port/NotificacaoService.java                   ← porta (inalterada desde a Fase 1)</w:t>
      </w:r>
    </w:p>
    <w:p w14:paraId="512A61E0" w14:textId="77777777" w:rsidR="001627A1" w:rsidRDefault="001627A1">
      <w:pPr>
        <w:pStyle w:val="Pr-formataoHTML"/>
        <w:jc w:val="both"/>
      </w:pPr>
      <w:r>
        <w:t>infrastructure/notification/LogNotificacaoService.java     ← stub    (canal=log, default)</w:t>
      </w:r>
    </w:p>
    <w:p w14:paraId="61F9BB65" w14:textId="77777777" w:rsidR="001627A1" w:rsidRDefault="001627A1">
      <w:pPr>
        <w:pStyle w:val="Pr-formataoHTML"/>
        <w:jc w:val="both"/>
      </w:pPr>
      <w:r>
        <w:t>infrastructure/notification/SmtpNotificacaoService.java    ← novo    (canal=smtp)</w:t>
      </w:r>
    </w:p>
    <w:p w14:paraId="4496F68C" w14:textId="77777777" w:rsidR="001627A1" w:rsidRDefault="001627A1">
      <w:pPr>
        <w:pStyle w:val="NormalWeb"/>
        <w:jc w:val="both"/>
      </w:pPr>
      <w:r>
        <w:rPr>
          <w:rStyle w:val="CdigoHTML"/>
        </w:rPr>
        <w:t>SmtpNotificacaoService</w:t>
      </w:r>
      <w:r>
        <w:t xml:space="preserve"> resolve o e-mail do cliente, monta uma mensagem MIME HTML com o valor do orçamento e os dois botões de decisão, e envia via </w:t>
      </w:r>
      <w:r>
        <w:rPr>
          <w:rStyle w:val="CdigoHTML"/>
        </w:rPr>
        <w:t>JavaMailSender</w:t>
      </w:r>
      <w:r>
        <w:t>. A escolha do canal é uma property (</w:t>
      </w:r>
      <w:r>
        <w:rPr>
          <w:rStyle w:val="CdigoHTML"/>
        </w:rPr>
        <w:t>NOTIFICACAO_CANAL=smtp|log</w:t>
      </w:r>
      <w:r>
        <w:t>) — trocar de canal não é uma decisão de código.</w:t>
      </w:r>
    </w:p>
    <w:p w14:paraId="6E7D1F11" w14:textId="77777777" w:rsidR="001627A1" w:rsidRDefault="001627A1">
      <w:pPr>
        <w:pStyle w:val="NormalWeb"/>
        <w:jc w:val="both"/>
      </w:pPr>
      <w:r>
        <w:t xml:space="preserve">Em desenvolvimento e demo, o SMTP é o </w:t>
      </w:r>
      <w:r>
        <w:rPr>
          <w:b/>
          <w:bCs/>
        </w:rPr>
        <w:t>MailHog</w:t>
      </w:r>
      <w:r>
        <w:t xml:space="preserve"> (contêiner leve que captura qualquer e-mail e o exibe numa UI web em </w:t>
      </w:r>
      <w:r>
        <w:rPr>
          <w:rStyle w:val="CdigoHTML"/>
        </w:rPr>
        <w:t>http://localhost:8025</w:t>
      </w:r>
      <w:r>
        <w:t xml:space="preserve">), o que permite demonstrar o fluxo completo — orçamento gerado → e-mail recebido → clique → </w:t>
      </w:r>
      <w:r>
        <w:t xml:space="preserve">status alterado — sem credencial de provedor real. Em produção, bastaria apontar </w:t>
      </w:r>
      <w:r>
        <w:rPr>
          <w:rStyle w:val="CdigoHTML"/>
        </w:rPr>
        <w:t>SMTP_HOST</w:t>
      </w:r>
      <w:r>
        <w:t>/</w:t>
      </w:r>
      <w:r>
        <w:rPr>
          <w:rStyle w:val="CdigoHTML"/>
        </w:rPr>
        <w:t>SMTP_PORT</w:t>
      </w:r>
      <w:r>
        <w:t xml:space="preserve"> para um relay real (SES, SendGrid); nenhuma classe muda.</w:t>
      </w:r>
    </w:p>
    <w:p w14:paraId="511DB095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2.4 Débitos técnicos da Fase 1 — quitação</w:t>
      </w:r>
    </w:p>
    <w:p w14:paraId="7B0C230F" w14:textId="77777777" w:rsidR="001627A1" w:rsidRDefault="001627A1">
      <w:pPr>
        <w:pStyle w:val="NormalWeb"/>
        <w:jc w:val="both"/>
      </w:pPr>
      <w:r>
        <w:t>Os quatro débitos registrados no documento da Fase 1 foram endereçados: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2398"/>
        <w:gridCol w:w="5740"/>
      </w:tblGrid>
      <w:tr w:rsidR="00000000" w14:paraId="0F8D97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9FBF9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44D4E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Débito (Fase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69EF9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Resolução (Fase 2)</w:t>
            </w:r>
          </w:p>
        </w:tc>
      </w:tr>
      <w:tr w:rsidR="00000000" w14:paraId="6C0168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839A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82EB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Mappers manuais nos adapters de persistência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49F5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MapStruct nos cinco adapters (</w:t>
            </w:r>
            <w:r>
              <w:rPr>
                <w:rStyle w:val="CdigoHTML"/>
              </w:rPr>
              <w:t>infrastructure/persistence/mapper/</w:t>
            </w:r>
            <w:r>
              <w:rPr>
                <w:rFonts w:eastAsia="Times New Roman"/>
                <w:sz w:val="22"/>
                <w:szCs w:val="22"/>
              </w:rPr>
              <w:t xml:space="preserve">), com </w:t>
            </w:r>
            <w:r>
              <w:rPr>
                <w:rStyle w:val="CdigoHTML"/>
              </w:rPr>
              <w:t>unmappedTargetPolicy = ERROR</w:t>
            </w:r>
            <w:r>
              <w:rPr>
                <w:rFonts w:eastAsia="Times New Roman"/>
                <w:sz w:val="22"/>
                <w:szCs w:val="22"/>
              </w:rPr>
              <w:t xml:space="preserve">: campo novo esquecido de um lado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quebra o build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em vez de gravar </w:t>
            </w:r>
            <w:r>
              <w:rPr>
                <w:rStyle w:val="CdigoHTML"/>
              </w:rPr>
              <w:t>null</w:t>
            </w:r>
            <w:r>
              <w:rPr>
                <w:rFonts w:eastAsia="Times New Roman"/>
                <w:sz w:val="22"/>
                <w:szCs w:val="22"/>
              </w:rPr>
              <w:t xml:space="preserve"> silenciosamente</w:t>
            </w:r>
          </w:p>
        </w:tc>
      </w:tr>
      <w:tr w:rsidR="00000000" w14:paraId="00B5F0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3A0B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8418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Serviço de notificação stub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5A2D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SmtpNotificacaoService</w:t>
            </w:r>
            <w:r>
              <w:rPr>
                <w:rFonts w:eastAsia="Times New Roman"/>
                <w:sz w:val="22"/>
                <w:szCs w:val="22"/>
              </w:rPr>
              <w:t xml:space="preserve"> (seção 2.3)</w:t>
            </w:r>
          </w:p>
        </w:tc>
      </w:tr>
      <w:tr w:rsidR="00000000" w14:paraId="351D16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9F2C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4179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fromPersistencia</w:t>
            </w:r>
            <w:r>
              <w:rPr>
                <w:rFonts w:eastAsia="Times New Roman"/>
                <w:sz w:val="22"/>
                <w:szCs w:val="22"/>
              </w:rPr>
              <w:t xml:space="preserve"> com 9 parâmetros (Sonar S107)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A940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Record </w:t>
            </w:r>
            <w:r>
              <w:rPr>
                <w:rStyle w:val="CdigoHTML"/>
              </w:rPr>
              <w:t>DadosOrdemServico</w:t>
            </w:r>
            <w:r>
              <w:rPr>
                <w:rFonts w:eastAsia="Times New Roman"/>
                <w:sz w:val="22"/>
                <w:szCs w:val="22"/>
              </w:rPr>
              <w:t xml:space="preserve"> no domínio; </w:t>
            </w:r>
            <w:r>
              <w:rPr>
                <w:rStyle w:val="CdigoHTML"/>
              </w:rPr>
              <w:t>OrdemServico.reconstituir()</w:t>
            </w:r>
            <w:r>
              <w:rPr>
                <w:rFonts w:eastAsia="Times New Roman"/>
                <w:sz w:val="22"/>
                <w:szCs w:val="22"/>
              </w:rPr>
              <w:t xml:space="preserve"> recebe 1 parâmetro</w:t>
            </w:r>
          </w:p>
        </w:tc>
      </w:tr>
      <w:tr w:rsidR="00000000" w14:paraId="1F4159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261E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33B1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CVEs sem patch disponível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F404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Spring Boot atualizado 3.4.5 → 3.4.7; scan OWASP reexecutado em 09/07/2026 — as mesmas 4 CVEs seguem sem patch dos fornecedores; supressões mantidas com data atualizada</w:t>
            </w:r>
          </w:p>
        </w:tc>
      </w:tr>
    </w:tbl>
    <w:p w14:paraId="29060EF3" w14:textId="77777777" w:rsidR="001627A1" w:rsidRDefault="001627A1">
      <w:pPr>
        <w:pStyle w:val="NormalWeb"/>
        <w:jc w:val="both"/>
      </w:pPr>
      <w:r>
        <w:lastRenderedPageBreak/>
        <w:t xml:space="preserve">Adicionalmente, o </w:t>
      </w:r>
      <w:r>
        <w:rPr>
          <w:b/>
          <w:bCs/>
        </w:rPr>
        <w:t>Domain Storytelling</w:t>
      </w:r>
      <w:r>
        <w:t xml:space="preserve"> </w:t>
      </w:r>
      <w:r>
        <w:t xml:space="preserve">— apontado como ausência na avaliação da Fase 1 — foi produzido e está em </w:t>
      </w:r>
      <w:r>
        <w:rPr>
          <w:rStyle w:val="CdigoHTML"/>
        </w:rPr>
        <w:t>docs/ddd/domain_storytelling.drawio</w:t>
      </w:r>
      <w:r>
        <w:t xml:space="preserve"> (</w:t>
      </w:r>
      <w:r>
        <w:rPr>
          <w:rStyle w:val="CdigoHTML"/>
        </w:rPr>
        <w:t>.svg</w:t>
      </w:r>
      <w:r>
        <w:t>), completando o conjunto de artefatos DDD.</w:t>
      </w:r>
    </w:p>
    <w:p w14:paraId="68785BB0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3. Arquitetura de Infraestrutura</w:t>
      </w:r>
    </w:p>
    <w:p w14:paraId="6C625FDA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3.1 Visão geral</w:t>
      </w:r>
    </w:p>
    <w:p w14:paraId="15042423" w14:textId="77777777" w:rsidR="001627A1" w:rsidRDefault="001627A1">
      <w:pPr>
        <w:pStyle w:val="NormalWeb"/>
        <w:jc w:val="center"/>
      </w:pPr>
      <w:r>
        <w:rPr>
          <w:noProof/>
        </w:rPr>
        <w:drawing>
          <wp:inline distT="0" distB="0" distL="0" distR="0" wp14:anchorId="4E2C7BAA" wp14:editId="3ABF20E7">
            <wp:extent cx="6286500" cy="3981450"/>
            <wp:effectExtent l="0" t="0" r="0" b="0"/>
            <wp:docPr id="2" name="Imagem 2" descr="Arquitetura da Fas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quitetura da Fas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0298" w14:textId="77777777" w:rsidR="001627A1" w:rsidRDefault="001627A1">
      <w:pPr>
        <w:pStyle w:val="Pr-formataoHTML"/>
        <w:jc w:val="both"/>
      </w:pPr>
    </w:p>
    <w:p w14:paraId="04CF5DAF" w14:textId="77777777" w:rsidR="001627A1" w:rsidRDefault="001627A1">
      <w:pPr>
        <w:pStyle w:val="Pr-formataoHTML"/>
        <w:jc w:val="both"/>
      </w:pPr>
      <w:r>
        <w:t xml:space="preserve">                        ┌──────────────┐        ┌─────────────────┐</w:t>
      </w:r>
    </w:p>
    <w:p w14:paraId="2249BB99" w14:textId="77777777" w:rsidR="001627A1" w:rsidRDefault="001627A1">
      <w:pPr>
        <w:pStyle w:val="Pr-formataoHTML"/>
        <w:jc w:val="both"/>
      </w:pPr>
      <w:r>
        <w:t xml:space="preserve">  GitHub Actions ──CI──</w:t>
      </w:r>
      <w:r>
        <w:rPr>
          <w:rFonts w:ascii="Cambria Math" w:hAnsi="Cambria Math" w:cs="Cambria Math"/>
        </w:rPr>
        <w:t>▶</w:t>
      </w:r>
      <w:r>
        <w:t>│</w:t>
      </w:r>
      <w:r>
        <w:t xml:space="preserve"> build + test │──CD───</w:t>
      </w:r>
      <w:r>
        <w:rPr>
          <w:rFonts w:ascii="Cambria Math" w:hAnsi="Cambria Math" w:cs="Cambria Math"/>
        </w:rPr>
        <w:t>▶</w:t>
      </w:r>
      <w:r>
        <w:t>│</w:t>
      </w:r>
      <w:r>
        <w:t xml:space="preserve">  GHCR (imagem)  │</w:t>
      </w:r>
    </w:p>
    <w:p w14:paraId="01AE98D4" w14:textId="77777777" w:rsidR="001627A1" w:rsidRDefault="001627A1">
      <w:pPr>
        <w:pStyle w:val="Pr-formataoHTML"/>
        <w:jc w:val="both"/>
      </w:pPr>
      <w:r>
        <w:t xml:space="preserve">                        └────────</w:t>
      </w:r>
      <w:r>
        <w:t>──────┘        └────────┬────────┘</w:t>
      </w:r>
    </w:p>
    <w:p w14:paraId="2229B1FE" w14:textId="77777777" w:rsidR="001627A1" w:rsidRDefault="001627A1">
      <w:pPr>
        <w:pStyle w:val="Pr-formataoHTML"/>
        <w:jc w:val="both"/>
      </w:pPr>
      <w:r>
        <w:t xml:space="preserve">                                                         │</w:t>
      </w:r>
    </w:p>
    <w:p w14:paraId="349E20DD" w14:textId="77777777" w:rsidR="001627A1" w:rsidRDefault="001627A1">
      <w:pPr>
        <w:pStyle w:val="Pr-formataoHTML"/>
        <w:jc w:val="both"/>
      </w:pPr>
      <w:r>
        <w:t xml:space="preserve">                     ┌───────────────────────────────────┤──────────────────┐</w:t>
      </w:r>
    </w:p>
    <w:p w14:paraId="315F829F" w14:textId="77777777" w:rsidR="001627A1" w:rsidRDefault="001627A1">
      <w:pPr>
        <w:pStyle w:val="Pr-formataoHTML"/>
        <w:jc w:val="both"/>
      </w:pPr>
      <w:r>
        <w:t xml:space="preserve">                     │  Kubernetes (AWS EKS)             ▼                  │</w:t>
      </w:r>
    </w:p>
    <w:p w14:paraId="3822DA6A" w14:textId="77777777" w:rsidR="001627A1" w:rsidRDefault="001627A1">
      <w:pPr>
        <w:pStyle w:val="Pr-formataoHTML"/>
        <w:jc w:val="both"/>
      </w:pPr>
      <w:r>
        <w:t xml:space="preserve">                     │   ┌───────────────┐   ┌────────────────────┐        │</w:t>
      </w:r>
    </w:p>
    <w:p w14:paraId="2C21E761" w14:textId="77777777" w:rsidR="001627A1" w:rsidRDefault="001627A1">
      <w:pPr>
        <w:pStyle w:val="Pr-formataoHTML"/>
        <w:jc w:val="both"/>
      </w:pPr>
      <w:r>
        <w:t xml:space="preserve">                     │   │ oficina-api   │──</w:t>
      </w:r>
      <w:r>
        <w:rPr>
          <w:rFonts w:ascii="Cambria Math" w:hAnsi="Cambria Math" w:cs="Cambria Math"/>
        </w:rPr>
        <w:t>▶</w:t>
      </w:r>
      <w:r>
        <w:t>│</w:t>
      </w:r>
      <w:r>
        <w:t xml:space="preserve"> RDS PostgreSQL     │        │</w:t>
      </w:r>
    </w:p>
    <w:p w14:paraId="2BB64A08" w14:textId="77777777" w:rsidR="001627A1" w:rsidRDefault="001627A1">
      <w:pPr>
        <w:pStyle w:val="Pr-formataoHTML"/>
        <w:jc w:val="both"/>
      </w:pPr>
      <w:r>
        <w:t xml:space="preserve">                     │   │ (2-8 réplicas,│   │ (gerenciado)       │        │</w:t>
      </w:r>
    </w:p>
    <w:p w14:paraId="0B42EDED" w14:textId="77777777" w:rsidR="001627A1" w:rsidRDefault="001627A1">
      <w:pPr>
        <w:pStyle w:val="Pr-formataoHTML"/>
        <w:jc w:val="both"/>
      </w:pPr>
      <w:r>
        <w:t xml:space="preserve">                     │   │ </w:t>
      </w:r>
      <w:r>
        <w:t>HPA CPU/mem)  │   └────────────────────┘        │</w:t>
      </w:r>
    </w:p>
    <w:p w14:paraId="21AE487C" w14:textId="77777777" w:rsidR="001627A1" w:rsidRDefault="001627A1">
      <w:pPr>
        <w:pStyle w:val="Pr-formataoHTML"/>
        <w:jc w:val="both"/>
      </w:pPr>
      <w:r>
        <w:t xml:space="preserve">                     │   └───────┬───────┘                                 │</w:t>
      </w:r>
    </w:p>
    <w:p w14:paraId="361F770B" w14:textId="77777777" w:rsidR="001627A1" w:rsidRDefault="001627A1">
      <w:pPr>
        <w:pStyle w:val="Pr-formataoHTML"/>
        <w:jc w:val="both"/>
      </w:pPr>
      <w:r>
        <w:t xml:space="preserve">                     │           ▼                                         │</w:t>
      </w:r>
    </w:p>
    <w:p w14:paraId="7026AB19" w14:textId="77777777" w:rsidR="001627A1" w:rsidRDefault="001627A1">
      <w:pPr>
        <w:pStyle w:val="Pr-formataoHTML"/>
        <w:jc w:val="both"/>
      </w:pPr>
      <w:r>
        <w:t xml:space="preserve">                     │      MailHog (SMTP demo)                            │</w:t>
      </w:r>
    </w:p>
    <w:p w14:paraId="167ED093" w14:textId="77777777" w:rsidR="001627A1" w:rsidRDefault="001627A1">
      <w:pPr>
        <w:pStyle w:val="Pr-formataoHTML"/>
        <w:jc w:val="both"/>
      </w:pPr>
      <w:r>
        <w:t xml:space="preserve">                     └─────────────────────────────────────────────────────┘</w:t>
      </w:r>
    </w:p>
    <w:p w14:paraId="1A145FDC" w14:textId="77777777" w:rsidR="001627A1" w:rsidRDefault="001627A1">
      <w:pPr>
        <w:pStyle w:val="NormalWeb"/>
        <w:jc w:val="both"/>
      </w:pPr>
      <w:r>
        <w:t xml:space="preserve">O fluxo de deploy completo: push na </w:t>
      </w:r>
      <w:r>
        <w:rPr>
          <w:rStyle w:val="CdigoHTML"/>
        </w:rPr>
        <w:t>main</w:t>
      </w:r>
      <w:r>
        <w:t xml:space="preserve"> → CI (build, testes, quality gates) → imagem Docker publicada no GHCR com a tag do SHA do commit → </w:t>
      </w:r>
      <w:r>
        <w:t>aprovação humana → rollout no EKS. A infraestrutura em si (VPC, EKS, RDS) tem ciclo de vida próprio no workflow de Terraform, com o mesmo gate de aprovação.</w:t>
      </w:r>
    </w:p>
    <w:p w14:paraId="1AAE4734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3.2 Containerização</w:t>
      </w:r>
    </w:p>
    <w:p w14:paraId="2AEE45EC" w14:textId="77777777" w:rsidR="001627A1" w:rsidRDefault="001627A1">
      <w:pPr>
        <w:pStyle w:val="NormalWeb"/>
        <w:jc w:val="both"/>
      </w:pPr>
      <w:r>
        <w:t xml:space="preserve">O </w:t>
      </w:r>
      <w:r>
        <w:rPr>
          <w:rStyle w:val="CdigoHTML"/>
        </w:rPr>
        <w:t>Dockerfile</w:t>
      </w:r>
      <w:r>
        <w:t xml:space="preserve"> é multi-stage (Maven para build, JRE Alpine para runtime — imagem final sem toolchain de compilação) e incorpora a recomendação da avaliação da Fase 1: o contêiner </w:t>
      </w:r>
      <w:r>
        <w:rPr>
          <w:b/>
          <w:bCs/>
        </w:rPr>
        <w:t>roda como usuário não-root</w:t>
      </w:r>
      <w:r>
        <w:t xml:space="preserve"> (</w:t>
      </w:r>
      <w:r>
        <w:rPr>
          <w:rStyle w:val="CdigoHTML"/>
        </w:rPr>
        <w:t>spring:spring</w:t>
      </w:r>
      <w:r>
        <w:t xml:space="preserve">), com </w:t>
      </w:r>
      <w:r>
        <w:rPr>
          <w:rStyle w:val="CdigoHTML"/>
        </w:rPr>
        <w:t>HEALTHCHECK</w:t>
      </w:r>
      <w:r>
        <w:t xml:space="preserve"> apontando para o probe de liveness do Actuator.</w:t>
      </w:r>
    </w:p>
    <w:p w14:paraId="11FD32C6" w14:textId="77777777" w:rsidR="001627A1" w:rsidRDefault="001627A1">
      <w:pPr>
        <w:pStyle w:val="NormalWeb"/>
        <w:jc w:val="both"/>
      </w:pPr>
      <w:r>
        <w:t xml:space="preserve">O </w:t>
      </w:r>
      <w:r>
        <w:rPr>
          <w:rStyle w:val="CdigoHTML"/>
        </w:rPr>
        <w:t>docker-compose.yml</w:t>
      </w:r>
      <w:r>
        <w:t xml:space="preserve"> </w:t>
      </w:r>
      <w:r>
        <w:t xml:space="preserve">sobe o inner-loop completo de desenvolvimento: PostgreSQL 16 (com healthcheck condicionando a subida da API), MailHog e a API. Um profile opcional </w:t>
      </w:r>
      <w:r>
        <w:rPr>
          <w:rStyle w:val="CdigoHTML"/>
        </w:rPr>
        <w:t>observability</w:t>
      </w:r>
      <w:r>
        <w:t xml:space="preserve"> acrescenta Grafana Tempo + Grafana para inspeção de traces OpenTelemetry — diferencial fora do escopo obrigatório. Senhas e segredos não têm default embutido no compose: </w:t>
      </w:r>
      <w:r>
        <w:rPr>
          <w:rStyle w:val="CdigoHTML"/>
        </w:rPr>
        <w:t>DB_PASS</w:t>
      </w:r>
      <w:r>
        <w:t xml:space="preserve"> e </w:t>
      </w:r>
      <w:r>
        <w:rPr>
          <w:rStyle w:val="CdigoHTML"/>
        </w:rPr>
        <w:t>JWT_SECRET</w:t>
      </w:r>
      <w:r>
        <w:t xml:space="preserve"> ausentes derrubam a subida com mensagem explícita (</w:t>
      </w:r>
      <w:r>
        <w:rPr>
          <w:rStyle w:val="CdigoHTML"/>
        </w:rPr>
        <w:t>:?defina ... no .env</w:t>
      </w:r>
      <w:r>
        <w:t>).</w:t>
      </w:r>
    </w:p>
    <w:p w14:paraId="399186B5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3.3 Kubernetes</w:t>
      </w:r>
    </w:p>
    <w:p w14:paraId="1EE9B11C" w14:textId="77777777" w:rsidR="001627A1" w:rsidRDefault="001627A1">
      <w:pPr>
        <w:pStyle w:val="NormalWeb"/>
        <w:jc w:val="both"/>
      </w:pPr>
      <w:r>
        <w:t xml:space="preserve">Os manifests em </w:t>
      </w:r>
      <w:r>
        <w:rPr>
          <w:rStyle w:val="CdigoHTML"/>
        </w:rPr>
        <w:t>k8s/</w:t>
      </w:r>
      <w:r>
        <w:t xml:space="preserve"> </w:t>
      </w:r>
      <w:r>
        <w:t>são os mesmos para qualquer cluster (kind local ou EKS) — a diferença entre ambientes fica no Terraform, não nos YAMLs: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5385"/>
      </w:tblGrid>
      <w:tr w:rsidR="00000000" w14:paraId="60D00B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C5378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Manifesto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AE355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Conteúdo</w:t>
            </w:r>
          </w:p>
        </w:tc>
      </w:tr>
      <w:tr w:rsidR="00000000" w14:paraId="4A1339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F21A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namespace.yaml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AEDD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Namespace </w:t>
            </w:r>
            <w:r>
              <w:rPr>
                <w:rStyle w:val="CdigoHTML"/>
              </w:rPr>
              <w:t>oficina</w:t>
            </w:r>
          </w:p>
        </w:tc>
      </w:tr>
      <w:tr w:rsidR="00000000" w14:paraId="0949DA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99E1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app/deployment.yaml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36B5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Deployment da API — sem </w:t>
            </w:r>
            <w:r>
              <w:rPr>
                <w:rStyle w:val="CdigoHTML"/>
              </w:rPr>
              <w:t>replicas</w:t>
            </w:r>
            <w:r>
              <w:rPr>
                <w:rFonts w:eastAsia="Times New Roman"/>
                <w:sz w:val="22"/>
                <w:szCs w:val="22"/>
              </w:rPr>
              <w:t xml:space="preserve"> fixo (o HPA é o dono da contagem), probes de startup/readiness/liveness no Actuator, </w:t>
            </w:r>
            <w:r>
              <w:rPr>
                <w:rStyle w:val="CdigoHTML"/>
              </w:rPr>
              <w:t>requests</w:t>
            </w:r>
            <w:r>
              <w:rPr>
                <w:rFonts w:eastAsia="Times New Roman"/>
                <w:sz w:val="22"/>
                <w:szCs w:val="22"/>
              </w:rPr>
              <w:t>/</w:t>
            </w:r>
            <w:r>
              <w:rPr>
                <w:rStyle w:val="CdigoHTML"/>
              </w:rPr>
              <w:t>limits</w:t>
            </w:r>
            <w:r>
              <w:rPr>
                <w:rFonts w:eastAsia="Times New Roman"/>
                <w:sz w:val="22"/>
                <w:szCs w:val="22"/>
              </w:rPr>
              <w:t xml:space="preserve"> de CPU e memória</w:t>
            </w:r>
          </w:p>
        </w:tc>
      </w:tr>
      <w:tr w:rsidR="00000000" w14:paraId="5948B8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777F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app/service.yaml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1EB9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Service </w:t>
            </w:r>
            <w:r>
              <w:rPr>
                <w:rStyle w:val="CdigoHTML"/>
              </w:rPr>
              <w:t>LoadBalancer</w:t>
            </w:r>
            <w:r>
              <w:rPr>
                <w:rFonts w:eastAsia="Times New Roman"/>
                <w:sz w:val="22"/>
                <w:szCs w:val="22"/>
              </w:rPr>
              <w:t xml:space="preserve"> — front door externo da API</w:t>
            </w:r>
          </w:p>
        </w:tc>
      </w:tr>
      <w:tr w:rsidR="00000000" w14:paraId="4650A6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652F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app/configmap.yaml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A36A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Configuração não-sensível (URL do banco, canal de notificação, SMTP)</w:t>
            </w:r>
          </w:p>
        </w:tc>
      </w:tr>
      <w:tr w:rsidR="00000000" w14:paraId="1B18B5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7F3A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app/secret.yaml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BF4B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Placeholder</w:t>
            </w:r>
            <w:r>
              <w:rPr>
                <w:rFonts w:eastAsia="Times New Roman"/>
                <w:sz w:val="22"/>
                <w:szCs w:val="22"/>
              </w:rPr>
              <w:t xml:space="preserve"> — valores reais nunca vão para o git; em AWS quem materializa o Secret é o Terraform, a partir de secrets do GitHub</w:t>
            </w:r>
          </w:p>
        </w:tc>
      </w:tr>
      <w:tr w:rsidR="00000000" w14:paraId="6B9B8F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E7E8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app/hpa.yaml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98C6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HorizontalPodAutoscaler: 2 a 8 réplicas, CPU 70% / memória 80%</w:t>
            </w:r>
          </w:p>
        </w:tc>
      </w:tr>
      <w:tr w:rsidR="00000000" w14:paraId="768EB0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9294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database/*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2428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StatefulSet PostgreSQL + Service — usado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apenas</w:t>
            </w:r>
            <w:r>
              <w:rPr>
                <w:rFonts w:eastAsia="Times New Roman"/>
                <w:sz w:val="22"/>
                <w:szCs w:val="22"/>
              </w:rPr>
              <w:t xml:space="preserve"> no cluster local (na AWS o banco é RDS)</w:t>
            </w:r>
          </w:p>
        </w:tc>
      </w:tr>
      <w:tr w:rsidR="00000000" w14:paraId="7AC9A5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6895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mailhog/*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0D6B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Deployment + Service do MailHog</w:t>
            </w:r>
          </w:p>
        </w:tc>
      </w:tr>
      <w:tr w:rsidR="00000000" w14:paraId="246750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A935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metrics-server/components.yaml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267D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Metrics-server vendorizado — nem kind nem EKS o trazem por padrão, e o HPA depende dele</w:t>
            </w:r>
          </w:p>
        </w:tc>
      </w:tr>
      <w:tr w:rsidR="00000000" w14:paraId="1F24BB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B552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loadtest/k6-script.js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F1A6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Script k6 para provocar o HPA na demonstração de escalabilidade</w:t>
            </w:r>
          </w:p>
        </w:tc>
      </w:tr>
    </w:tbl>
    <w:p w14:paraId="5F41E3DF" w14:textId="77777777" w:rsidR="001627A1" w:rsidRDefault="001627A1">
      <w:pPr>
        <w:pStyle w:val="NormalWeb"/>
        <w:jc w:val="both"/>
      </w:pPr>
      <w:r>
        <w:t>Duas decisões merecem justificativa:</w:t>
      </w:r>
    </w:p>
    <w:p w14:paraId="7DCFC909" w14:textId="77777777" w:rsidR="001627A1" w:rsidRDefault="001627A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Style w:val="CdigoHTML"/>
          <w:b/>
          <w:bCs/>
        </w:rPr>
        <w:t>imagePullPolicy: IfNotPresent</w:t>
      </w:r>
      <w:r>
        <w:rPr>
          <w:rFonts w:eastAsia="Times New Roman"/>
          <w:b/>
          <w:bCs/>
        </w:rPr>
        <w:t xml:space="preserve"> explícito.</w:t>
      </w:r>
      <w:r>
        <w:rPr>
          <w:rFonts w:eastAsia="Times New Roman"/>
        </w:rPr>
        <w:t xml:space="preserve"> Sem ele, o Kubernetes deriva </w:t>
      </w:r>
      <w:r>
        <w:rPr>
          <w:rStyle w:val="CdigoHTML"/>
        </w:rPr>
        <w:t>Always</w:t>
      </w:r>
      <w:r>
        <w:rPr>
          <w:rFonts w:eastAsia="Times New Roman"/>
        </w:rPr>
        <w:t xml:space="preserve"> da tag </w:t>
      </w:r>
      <w:r>
        <w:rPr>
          <w:rStyle w:val="CdigoHTML"/>
        </w:rPr>
        <w:t>:latest</w:t>
      </w:r>
      <w:r>
        <w:rPr>
          <w:rFonts w:eastAsia="Times New Roman"/>
        </w:rPr>
        <w:t xml:space="preserve"> — e </w:t>
      </w:r>
      <w:r>
        <w:rPr>
          <w:rStyle w:val="CdigoHTML"/>
        </w:rPr>
        <w:t>Always</w:t>
      </w:r>
      <w:r>
        <w:rPr>
          <w:rFonts w:eastAsia="Times New Roman"/>
        </w:rPr>
        <w:t xml:space="preserve"> continua valendo depois que o CD troca a imagem por uma tag imutável, o que quebraria o deploy no kind (a imagem está no nó, mas o kubelet insistiria em puxar de um registry).</w:t>
      </w:r>
    </w:p>
    <w:p w14:paraId="2760551C" w14:textId="77777777" w:rsidR="001627A1" w:rsidRDefault="001627A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HPA por CPU e memória.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O requisito pede escalonamento por consumo; usar as duas métricas evita o ponto cego de uma aplicação JVM que satura heap sem saturar CPU.</w:t>
      </w:r>
    </w:p>
    <w:p w14:paraId="35ADC9F2" w14:textId="77777777" w:rsidR="001627A1" w:rsidRDefault="001627A1">
      <w:pPr>
        <w:pStyle w:val="placeholder"/>
        <w:jc w:val="both"/>
      </w:pPr>
      <w:r>
        <w:t>[PRINT: kubectl get hpa -w durante o teste de carga k6, mostrando as réplicas subindo]</w:t>
      </w:r>
    </w:p>
    <w:p w14:paraId="67291A49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3.4 Infraestrutura como Código — Terraform</w:t>
      </w:r>
    </w:p>
    <w:p w14:paraId="2EE24666" w14:textId="77777777" w:rsidR="001627A1" w:rsidRDefault="001627A1">
      <w:pPr>
        <w:pStyle w:val="NormalWeb"/>
        <w:jc w:val="both"/>
      </w:pPr>
      <w:r>
        <w:t>Dois ambientes com o mesmo conjunto de manifests: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316"/>
        <w:gridCol w:w="1493"/>
        <w:gridCol w:w="797"/>
        <w:gridCol w:w="1792"/>
      </w:tblGrid>
      <w:tr w:rsidR="00000000" w14:paraId="299E41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395C4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Ambiente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54A75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64491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Banco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15541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Custo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06BA4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Uso</w:t>
            </w:r>
          </w:p>
        </w:tc>
      </w:tr>
      <w:tr w:rsidR="00000000" w14:paraId="029D59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408A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infra/environments/local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CA33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kind (Kubernetes em Docker)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D754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PostgreSQL in-cluster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9F76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Zero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4B12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Desenvolvimento e validação</w:t>
            </w:r>
          </w:p>
        </w:tc>
      </w:tr>
      <w:tr w:rsidR="00000000" w14:paraId="627F77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4A5B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infra/environments/aws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543C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EKS 1.33 (2× </w:t>
            </w:r>
            <w:r>
              <w:rPr>
                <w:rFonts w:eastAsia="Times New Roman"/>
                <w:sz w:val="22"/>
                <w:szCs w:val="22"/>
              </w:rPr>
              <w:t>t3.small, node group 2–3)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711C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RDS PostgreSQL 16 (db.t4g.micro, gp3 20GB)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1ADE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~US$ 0,16/h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929A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Demo e entrega</w:t>
            </w:r>
          </w:p>
        </w:tc>
      </w:tr>
    </w:tbl>
    <w:p w14:paraId="4F1E4444" w14:textId="77777777" w:rsidR="001627A1" w:rsidRDefault="001627A1">
      <w:pPr>
        <w:pStyle w:val="NormalWeb"/>
        <w:jc w:val="both"/>
      </w:pPr>
      <w:r>
        <w:t xml:space="preserve">No ambiente AWS o Terraform provisiona </w:t>
      </w:r>
      <w:r>
        <w:rPr>
          <w:b/>
          <w:bCs/>
        </w:rPr>
        <w:t>tudo do zero</w:t>
      </w:r>
      <w:r>
        <w:t xml:space="preserve"> em conta pessoal — VPC, subnets públicas em duas AZs, Internet Gateway, IAM roles de cluster e nós, EKS, RDS — e, ao final, renderiza ConfigMap/Secret com o endpoint real do RDS e aplica os manifests no cluster. Recursos criados e instruções de aplicação estão documentados em </w:t>
      </w:r>
      <w:r>
        <w:rPr>
          <w:rStyle w:val="CdigoHTML"/>
        </w:rPr>
        <w:t>infra/README.md</w:t>
      </w:r>
      <w:r>
        <w:t>, como o edital exige.</w:t>
      </w:r>
    </w:p>
    <w:p w14:paraId="572DD58B" w14:textId="77777777" w:rsidR="001627A1" w:rsidRDefault="001627A1">
      <w:pPr>
        <w:pStyle w:val="NormalWeb"/>
        <w:jc w:val="both"/>
      </w:pPr>
      <w:r>
        <w:t>Decisões de custo e segurança que valem registro:</w:t>
      </w:r>
    </w:p>
    <w:p w14:paraId="14662478" w14:textId="77777777" w:rsidR="001627A1" w:rsidRDefault="001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Sem NAT Gateway.</w:t>
      </w:r>
      <w:r>
        <w:rPr>
          <w:rFonts w:eastAsia="Times New Roman"/>
        </w:rPr>
        <w:t xml:space="preserve"> Os nós ficam em subnets públicas com Security Group restritivo. Um NAT custa ~US$ 0,045/h só por existir; o trade-off é aceitável porque o cluster é efêmero — sobe para a demo, é destruído em seguida.</w:t>
      </w:r>
    </w:p>
    <w:p w14:paraId="2D91C372" w14:textId="77777777" w:rsidR="001627A1" w:rsidRDefault="001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RDS fechado.</w:t>
      </w:r>
      <w:r>
        <w:rPr>
          <w:rFonts w:eastAsia="Times New Roman"/>
        </w:rPr>
        <w:t xml:space="preserve"> </w:t>
      </w:r>
      <w:r>
        <w:rPr>
          <w:rStyle w:val="CdigoHTML"/>
        </w:rPr>
        <w:t>publicly_accessible = false</w:t>
      </w:r>
      <w:r>
        <w:rPr>
          <w:rFonts w:eastAsia="Times New Roman"/>
        </w:rPr>
        <w:t xml:space="preserve"> e ingress na 5432 </w:t>
      </w:r>
      <w:r>
        <w:rPr>
          <w:rFonts w:eastAsia="Times New Roman"/>
          <w:b/>
          <w:bCs/>
        </w:rPr>
        <w:t>apenas</w:t>
      </w:r>
      <w:r>
        <w:rPr>
          <w:rFonts w:eastAsia="Times New Roman"/>
        </w:rPr>
        <w:t xml:space="preserve"> a partir do Security Group dos nós do EKS — nunca </w:t>
      </w:r>
      <w:r>
        <w:rPr>
          <w:rStyle w:val="CdigoHTML"/>
        </w:rPr>
        <w:t>0.0.0.0/0</w:t>
      </w:r>
      <w:r>
        <w:rPr>
          <w:rFonts w:eastAsia="Times New Roman"/>
        </w:rPr>
        <w:t>.</w:t>
      </w:r>
    </w:p>
    <w:p w14:paraId="4C03BA90" w14:textId="77777777" w:rsidR="001627A1" w:rsidRDefault="001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Backend de state fora do Terraform.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O state fica em S3 com lock em DynamoDB, mas esses dois recursos são criados por um script idempotente (</w:t>
      </w:r>
      <w:r>
        <w:rPr>
          <w:rStyle w:val="CdigoHTML"/>
        </w:rPr>
        <w:t>infra/bootstrap/bootstrap.sh</w:t>
      </w:r>
      <w:r>
        <w:rPr>
          <w:rFonts w:eastAsia="Times New Roman"/>
        </w:rPr>
        <w:t xml:space="preserve">), não por Terraform — o primeiro </w:t>
      </w:r>
      <w:r>
        <w:rPr>
          <w:rStyle w:val="CdigoHTML"/>
        </w:rPr>
        <w:t>apply</w:t>
      </w:r>
      <w:r>
        <w:rPr>
          <w:rFonts w:eastAsia="Times New Roman"/>
        </w:rPr>
        <w:t xml:space="preserve"> que criasse o bucket precisaria guardar o próprio state em algum lugar que ainda não existe. Um script sem state pode rodar N vezes num runner efêmero e converge sempre para o mesmo resultado.</w:t>
      </w:r>
    </w:p>
    <w:p w14:paraId="46191176" w14:textId="77777777" w:rsidR="001627A1" w:rsidRDefault="001627A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Acesso do pipeline via OIDC.</w:t>
      </w:r>
      <w:r>
        <w:rPr>
          <w:rFonts w:eastAsia="Times New Roman"/>
        </w:rPr>
        <w:t xml:space="preserve"> </w:t>
      </w:r>
      <w:r>
        <w:rPr>
          <w:rStyle w:val="CdigoHTML"/>
        </w:rPr>
        <w:t>infra/bootstrap/github-oidc.sh</w:t>
      </w:r>
      <w:r>
        <w:rPr>
          <w:rFonts w:eastAsia="Times New Roman"/>
        </w:rPr>
        <w:t xml:space="preserve"> (único passo local, executado uma vez) cria um OIDC provider e uma IAM role que </w:t>
      </w:r>
      <w:r>
        <w:rPr>
          <w:rFonts w:eastAsia="Times New Roman"/>
          <w:b/>
          <w:bCs/>
        </w:rPr>
        <w:t>somente este repositório</w:t>
      </w:r>
      <w:r>
        <w:rPr>
          <w:rFonts w:eastAsia="Times New Roman"/>
        </w:rPr>
        <w:t xml:space="preserve"> consegue assumir. Não existe access key estática guardada em secret.</w:t>
      </w:r>
    </w:p>
    <w:p w14:paraId="4ABFABF7" w14:textId="77777777" w:rsidR="001627A1" w:rsidRDefault="001627A1">
      <w:pPr>
        <w:pStyle w:val="Ttulo3"/>
        <w:jc w:val="both"/>
        <w:rPr>
          <w:rFonts w:eastAsia="Times New Roman"/>
        </w:rPr>
      </w:pPr>
      <w:r>
        <w:rPr>
          <w:rFonts w:eastAsia="Times New Roman"/>
        </w:rPr>
        <w:t>3.5 CI/CD — GitHub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129"/>
        <w:gridCol w:w="4528"/>
      </w:tblGrid>
      <w:tr w:rsidR="00000000" w14:paraId="74661C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5033D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A1334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Gatilho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F75C7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O que faz</w:t>
            </w:r>
          </w:p>
        </w:tc>
      </w:tr>
      <w:tr w:rsidR="00000000" w14:paraId="69AD11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01FB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ci-cd.yml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E42D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push/PR em </w:t>
            </w:r>
            <w:r>
              <w:rPr>
                <w:rStyle w:val="CdigoHTML"/>
              </w:rPr>
              <w:t>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7204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Build + testes (JaCoCo, gate de 80% no domínio) + OWASP Dependency Check + SonarCloud com quality gate bloqueante; em push, segue para build da imagem Docker, push no GHCR (tag = SHA do commit + </w:t>
            </w:r>
            <w:r>
              <w:rPr>
                <w:rStyle w:val="CdigoHTML"/>
              </w:rPr>
              <w:t>latest</w:t>
            </w:r>
            <w:r>
              <w:rPr>
                <w:rFonts w:eastAsia="Times New Roman"/>
                <w:sz w:val="22"/>
                <w:szCs w:val="22"/>
              </w:rPr>
              <w:t xml:space="preserve">) e deploy no EKS com </w:t>
            </w:r>
            <w:r>
              <w:rPr>
                <w:rStyle w:val="CdigoHTML"/>
              </w:rPr>
              <w:t>kubectl set image</w:t>
            </w:r>
            <w:r>
              <w:rPr>
                <w:rFonts w:eastAsia="Times New Roman"/>
                <w:sz w:val="22"/>
                <w:szCs w:val="22"/>
              </w:rPr>
              <w:t xml:space="preserve"> + </w:t>
            </w:r>
            <w:r>
              <w:rPr>
                <w:rStyle w:val="CdigoHTML"/>
              </w:rPr>
              <w:t>rollout status</w:t>
            </w:r>
          </w:p>
        </w:tc>
      </w:tr>
      <w:tr w:rsidR="00000000" w14:paraId="06A48F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6B041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terraform.yml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46E4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mudança em </w:t>
            </w:r>
            <w:r>
              <w:rPr>
                <w:rStyle w:val="CdigoHTML"/>
              </w:rPr>
              <w:t>infra/**</w:t>
            </w:r>
            <w:r>
              <w:rPr>
                <w:rFonts w:eastAsia="Times New Roman"/>
                <w:sz w:val="22"/>
                <w:szCs w:val="22"/>
              </w:rPr>
              <w:t>/</w:t>
            </w:r>
            <w:r>
              <w:rPr>
                <w:rStyle w:val="CdigoHTML"/>
              </w:rPr>
              <w:t>k8s/**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76A4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bootstrap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 xml:space="preserve">(backend de state, idempotente) → </w:t>
            </w:r>
            <w:r>
              <w:rPr>
                <w:rStyle w:val="CdigoHTML"/>
              </w:rPr>
              <w:t>plan</w:t>
            </w:r>
            <w:r>
              <w:rPr>
                <w:rFonts w:eastAsia="Times New Roman"/>
                <w:sz w:val="22"/>
                <w:szCs w:val="22"/>
              </w:rPr>
              <w:t xml:space="preserve"> automático (só leitura, sem custo) → </w:t>
            </w:r>
            <w:r>
              <w:rPr>
                <w:rStyle w:val="CdigoHTML"/>
              </w:rPr>
              <w:t>apply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pausado aguardando aprovação humana</w:t>
            </w:r>
          </w:p>
        </w:tc>
      </w:tr>
      <w:tr w:rsidR="00000000" w14:paraId="367D2E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93CB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destroy-aws.yml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BE46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6BAE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Remove o Service LoadBalancer (evita ELB órfão), destrói EKS + RDS e remove o backend de state — para a cobrança com um clique</w:t>
            </w:r>
          </w:p>
        </w:tc>
      </w:tr>
    </w:tbl>
    <w:p w14:paraId="7B6F89A5" w14:textId="77777777" w:rsidR="001627A1" w:rsidRDefault="001627A1">
      <w:pPr>
        <w:pStyle w:val="NormalWeb"/>
        <w:jc w:val="both"/>
      </w:pPr>
      <w:r>
        <w:t xml:space="preserve">Todo passo que cria, altera ou destrói recurso cobrado passa pelo GitHub Environment </w:t>
      </w:r>
      <w:r>
        <w:rPr>
          <w:rStyle w:val="CdigoHTML"/>
        </w:rPr>
        <w:t>aws-production</w:t>
      </w:r>
      <w:r>
        <w:t xml:space="preserve"> com </w:t>
      </w:r>
      <w:r>
        <w:rPr>
          <w:b/>
          <w:bCs/>
        </w:rPr>
        <w:t>required reviewers</w:t>
      </w:r>
      <w:r>
        <w:t>: o pipeline para e espera aprovação humana. O deploy aplica exatamente o plano revisado (</w:t>
      </w:r>
      <w:r>
        <w:rPr>
          <w:rStyle w:val="CdigoHTML"/>
        </w:rPr>
        <w:t>terraform apply tfplan</w:t>
      </w:r>
      <w:r>
        <w:t xml:space="preserve"> </w:t>
      </w:r>
      <w:r>
        <w:t>do artefato gerado no plan — não um plan novo).</w:t>
      </w:r>
    </w:p>
    <w:p w14:paraId="01008884" w14:textId="77777777" w:rsidR="001627A1" w:rsidRDefault="001627A1">
      <w:pPr>
        <w:pStyle w:val="placeholder"/>
        <w:jc w:val="both"/>
      </w:pPr>
      <w:r>
        <w:t>[PRINT: execução do workflow CI/CD com o gate de aprovação e o rollout no EKS]</w:t>
      </w:r>
    </w:p>
    <w:p w14:paraId="0C81CFF3" w14:textId="77777777" w:rsidR="001627A1" w:rsidRDefault="001627A1">
      <w:pPr>
        <w:pStyle w:val="NormalWeb"/>
        <w:jc w:val="both"/>
      </w:pPr>
      <w:r>
        <w:t>O pipeline atende integralmente os itens do edital: build da aplicação, execução dos testes, build da imagem, deploy do banco (Terraform/RDS), aplicação dos manifests e deploy no cluster.</w:t>
      </w:r>
    </w:p>
    <w:p w14:paraId="6B136642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4. APIs — Novas e Alteradas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463"/>
        <w:gridCol w:w="984"/>
        <w:gridCol w:w="3079"/>
      </w:tblGrid>
      <w:tr w:rsidR="00000000" w14:paraId="7AC211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6D42B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6644A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24F95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40C21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Novidade na Fase 2</w:t>
            </w:r>
          </w:p>
        </w:tc>
      </w:tr>
      <w:tr w:rsidR="00000000" w14:paraId="30A735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0687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53F4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965A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DA6D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 (Fase 1) Abertura de OS com cliente, veículo, serviços e peças; retorna UUID</w:t>
            </w:r>
          </w:p>
        </w:tc>
      </w:tr>
      <w:tr w:rsidR="00000000" w14:paraId="0E63C9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AA8C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9ECE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32BF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B9EB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Alterado</w:t>
            </w:r>
            <w:r>
              <w:rPr>
                <w:rFonts w:eastAsia="Times New Roman"/>
                <w:sz w:val="22"/>
                <w:szCs w:val="22"/>
              </w:rPr>
              <w:t xml:space="preserve"> — ordenação por prioridade de status + antiguidade; exclui OS finalizadas/entregues (exclusão lógica)</w:t>
            </w:r>
          </w:p>
        </w:tc>
      </w:tr>
      <w:tr w:rsidR="00000000" w14:paraId="321428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7BE2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6CB9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C34A5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Pública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C75E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 (Fase 1) Consulta de status pelo cliente</w:t>
            </w:r>
          </w:p>
        </w:tc>
      </w:tr>
      <w:tr w:rsidR="00000000" w14:paraId="293E76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4E9A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3FD71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/api/ordens/{id}/aprovar-externo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E88C1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Pública (token)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1308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Novo</w:t>
            </w:r>
            <w:r>
              <w:rPr>
                <w:rFonts w:eastAsia="Times New Roman"/>
                <w:sz w:val="22"/>
                <w:szCs w:val="22"/>
              </w:rPr>
              <w:t xml:space="preserve"> — decisão externa via JSON</w:t>
            </w:r>
          </w:p>
        </w:tc>
      </w:tr>
      <w:tr w:rsidR="00000000" w14:paraId="6F1C4A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4D5BC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8684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/api/ordens/{id}/aprovar-externo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4997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Pública (token)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F92B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Novo</w:t>
            </w:r>
            <w:r>
              <w:rPr>
                <w:rFonts w:eastAsia="Times New Roman"/>
                <w:sz w:val="22"/>
                <w:szCs w:val="22"/>
              </w:rPr>
              <w:t xml:space="preserve"> — botão "Aprovar" do e-mail</w:t>
            </w:r>
          </w:p>
        </w:tc>
      </w:tr>
      <w:tr w:rsidR="00000000" w14:paraId="55EE40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C35C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9102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/api/ordens/{id}/reprovar-externo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D8CB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Pública (token)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C65E7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Novo</w:t>
            </w:r>
            <w:r>
              <w:rPr>
                <w:rFonts w:eastAsia="Times New Roman"/>
                <w:sz w:val="22"/>
                <w:szCs w:val="22"/>
              </w:rPr>
              <w:t xml:space="preserve"> — botão "Reprovar" do e-mail</w:t>
            </w:r>
          </w:p>
        </w:tc>
      </w:tr>
      <w:tr w:rsidR="00000000" w14:paraId="0EDC0D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922A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28E1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/api/veiculos/{id}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2287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7B088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Novo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sz w:val="22"/>
                <w:szCs w:val="22"/>
              </w:rPr>
              <w:t>— atualização de veículo</w:t>
            </w:r>
          </w:p>
        </w:tc>
      </w:tr>
    </w:tbl>
    <w:p w14:paraId="2B0194C6" w14:textId="77777777" w:rsidR="001627A1" w:rsidRDefault="001627A1">
      <w:pPr>
        <w:pStyle w:val="NormalWeb"/>
        <w:jc w:val="both"/>
      </w:pPr>
      <w:r>
        <w:t>O requisito "atualização de status da OS via alguma ferramenta como e-mail" é atendido pelo trio orçamento gerado → e-mail com botões → clique altera o status (</w:t>
      </w:r>
      <w:r>
        <w:rPr>
          <w:i/>
          <w:iCs/>
        </w:rPr>
        <w:t>Aguardando Aprovação</w:t>
      </w:r>
      <w:r>
        <w:t xml:space="preserve"> → </w:t>
      </w:r>
      <w:r>
        <w:rPr>
          <w:i/>
          <w:iCs/>
        </w:rPr>
        <w:t>Em Execução</w:t>
      </w:r>
      <w:r>
        <w:t xml:space="preserve"> ou </w:t>
      </w:r>
      <w:r>
        <w:rPr>
          <w:i/>
          <w:iCs/>
        </w:rPr>
        <w:t>Cancelada</w:t>
      </w:r>
      <w:r>
        <w:t>).</w:t>
      </w:r>
    </w:p>
    <w:p w14:paraId="76B537A2" w14:textId="77777777" w:rsidR="001627A1" w:rsidRDefault="001627A1">
      <w:pPr>
        <w:pStyle w:val="NormalWeb"/>
        <w:jc w:val="both"/>
      </w:pPr>
      <w:r>
        <w:t>Os demais grupos de endpoints (Auth, Clientes, Veículos, Serviços, Peças, Relatório) permanecem como na Fase 1, documentados no Swagger UI.</w:t>
      </w:r>
    </w:p>
    <w:p w14:paraId="21243B8A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5. Qualidade de Software</w:t>
      </w:r>
    </w:p>
    <w:p w14:paraId="060CD003" w14:textId="77777777" w:rsidR="001627A1" w:rsidRDefault="001627A1">
      <w:pPr>
        <w:pStyle w:val="NormalWeb"/>
        <w:jc w:val="both"/>
      </w:pPr>
      <w:r>
        <w:t>A régua da Fase 1 foi mantida e a suíte cresceu junto com as funcionalidades: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021"/>
        <w:gridCol w:w="5029"/>
      </w:tblGrid>
      <w:tr w:rsidR="00000000" w14:paraId="0532A7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4C361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Camada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8343C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8AD07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Cobertura da Fase 2</w:t>
            </w:r>
          </w:p>
        </w:tc>
      </w:tr>
      <w:tr w:rsidR="00000000" w14:paraId="33727F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18E2E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8264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JUnit 5 puro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006D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Token de aprovação (geração, expiração, uso único), exclusão lógica, transições</w:t>
            </w:r>
          </w:p>
        </w:tc>
      </w:tr>
      <w:tr w:rsidR="00000000" w14:paraId="36C087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4895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5420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JUnit 5 + Mockito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27FE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Use cases de aprovação/reprovação externa, listagem ordenada</w:t>
            </w:r>
          </w:p>
        </w:tc>
      </w:tr>
      <w:tr w:rsidR="00000000" w14:paraId="23B908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850A6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AA85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Testcontainers (PostgreSQL real)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95971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Fluxo E2E, estorno, ordenação da listagem via API, aprovação externa por token e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cliques nos links do e-mail sem autenticação</w:t>
            </w:r>
          </w:p>
        </w:tc>
      </w:tr>
    </w:tbl>
    <w:p w14:paraId="0C7DCAE1" w14:textId="77777777" w:rsidR="001627A1" w:rsidRDefault="001627A1">
      <w:pPr>
        <w:pStyle w:val="NormalWeb"/>
        <w:jc w:val="both"/>
      </w:pPr>
      <w:r>
        <w:rPr>
          <w:b/>
          <w:bCs/>
        </w:rPr>
        <w:t>122 testes</w:t>
      </w:r>
      <w:r>
        <w:t xml:space="preserve"> </w:t>
      </w:r>
      <w:r>
        <w:t xml:space="preserve">(114 unitários e de use case + 8 de integração), todos passando. Gates inalterados: JaCoCo falha o build abaixo de 80% de cobertura de instruções no domínio; SonarCloud com quality gate bloqueante; OWASP Dependency Check com </w:t>
      </w:r>
      <w:r>
        <w:rPr>
          <w:rStyle w:val="CdigoHTML"/>
        </w:rPr>
        <w:t>failBuildOnCVSS=9</w:t>
      </w:r>
      <w:r>
        <w:t>.</w:t>
      </w:r>
    </w:p>
    <w:p w14:paraId="50DCCE7D" w14:textId="77777777" w:rsidR="001627A1" w:rsidRDefault="001627A1">
      <w:pPr>
        <w:pStyle w:val="NormalWeb"/>
        <w:jc w:val="both"/>
      </w:pPr>
      <w:r>
        <w:t xml:space="preserve">O SonarCloud também deixou de reportar o S107 (método com 9 parâmetros), quitado pelo record </w:t>
      </w:r>
      <w:r>
        <w:rPr>
          <w:rStyle w:val="CdigoHTML"/>
        </w:rPr>
        <w:t>DadosOrdemServico</w:t>
      </w:r>
      <w:r>
        <w:t>.</w:t>
      </w:r>
    </w:p>
    <w:p w14:paraId="41EA6674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6. Segurança</w:t>
      </w:r>
    </w:p>
    <w:p w14:paraId="58695033" w14:textId="77777777" w:rsidR="001627A1" w:rsidRDefault="001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Rotas públicas são exceções deliberadas</w:t>
      </w:r>
      <w:r>
        <w:rPr>
          <w:rFonts w:eastAsia="Times New Roman"/>
        </w:rPr>
        <w:t xml:space="preserve">, listadas uma a uma no </w:t>
      </w:r>
      <w:r>
        <w:rPr>
          <w:rStyle w:val="CdigoHTML"/>
        </w:rPr>
        <w:t>SecurityConfig</w:t>
      </w:r>
      <w:r>
        <w:rPr>
          <w:rFonts w:eastAsia="Times New Roman"/>
        </w:rPr>
        <w:t>: consulta de status, aprovação externa (POST + os dois GETs do e-mail), auth, Swagger e Actuator. Todo o resto continua exigindo JWT (com a mesma rotação de refresh token e detecção de reuso da Fase 1).</w:t>
      </w:r>
    </w:p>
    <w:p w14:paraId="5B36891F" w14:textId="77777777" w:rsidR="001627A1" w:rsidRDefault="001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Nenhum segredo no repositório</w:t>
      </w:r>
      <w:r>
        <w:rPr>
          <w:rFonts w:eastAsia="Times New Roman"/>
        </w:rPr>
        <w:t xml:space="preserve">: o </w:t>
      </w:r>
      <w:r>
        <w:rPr>
          <w:rStyle w:val="CdigoHTML"/>
        </w:rPr>
        <w:t>k8s/app/secret.yaml</w:t>
      </w:r>
      <w:r>
        <w:rPr>
          <w:rFonts w:eastAsia="Times New Roman"/>
        </w:rPr>
        <w:t xml:space="preserve"> versionado contém apenas </w:t>
      </w:r>
      <w:r>
        <w:rPr>
          <w:rStyle w:val="CdigoHTML"/>
        </w:rPr>
        <w:t>REPLACE_ME</w:t>
      </w:r>
      <w:r>
        <w:rPr>
          <w:rFonts w:eastAsia="Times New Roman"/>
        </w:rPr>
        <w:t xml:space="preserve">; os valores reais entram por GitHub Secrets → Terraform → Secret do cluster. O compose exige </w:t>
      </w:r>
      <w:r>
        <w:rPr>
          <w:rStyle w:val="CdigoHTML"/>
        </w:rPr>
        <w:t>.env</w:t>
      </w:r>
      <w:r>
        <w:rPr>
          <w:rFonts w:eastAsia="Times New Roman"/>
        </w:rPr>
        <w:t xml:space="preserve"> local.</w:t>
      </w:r>
    </w:p>
    <w:p w14:paraId="563746DF" w14:textId="77777777" w:rsidR="001627A1" w:rsidRDefault="001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Pipeline sem credencial estática</w:t>
      </w:r>
      <w:r>
        <w:rPr>
          <w:rFonts w:eastAsia="Times New Roman"/>
        </w:rPr>
        <w:t>: OIDC GitHub → AWS com role restrita ao repositório.</w:t>
      </w:r>
    </w:p>
    <w:p w14:paraId="21A6C656" w14:textId="77777777" w:rsidR="001627A1" w:rsidRDefault="001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Contêiner não-root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(feedback da Fase 1 endereçado).</w:t>
      </w:r>
    </w:p>
    <w:p w14:paraId="1613853F" w14:textId="77777777" w:rsidR="001627A1" w:rsidRDefault="001627A1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Fonts w:eastAsia="Times New Roman"/>
          <w:b/>
          <w:bCs/>
        </w:rPr>
        <w:t>CVEs</w:t>
      </w:r>
      <w:r>
        <w:rPr>
          <w:rFonts w:eastAsia="Times New Roman"/>
        </w:rPr>
        <w:t xml:space="preserve">: reverificação completa em 09/07/2026 com Spring Boot 3.4.7 — detalhe na seção 2.4 e em </w:t>
      </w:r>
      <w:r>
        <w:rPr>
          <w:rStyle w:val="CdigoHTML"/>
        </w:rPr>
        <w:t>owasp-suppressions.xml</w:t>
      </w:r>
      <w:r>
        <w:rPr>
          <w:rFonts w:eastAsia="Times New Roman"/>
        </w:rPr>
        <w:t>.</w:t>
      </w:r>
    </w:p>
    <w:p w14:paraId="05EB779D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7. Débitos Técnicos Conhecidos (Fase 2)</w:t>
      </w:r>
    </w:p>
    <w:p w14:paraId="35587E94" w14:textId="77777777" w:rsidR="001627A1" w:rsidRDefault="001627A1">
      <w:pPr>
        <w:pStyle w:val="NormalWeb"/>
        <w:jc w:val="both"/>
      </w:pPr>
      <w:r>
        <w:t>Como na Fase 1, simplificações conscientes ficam registradas: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2934"/>
        <w:gridCol w:w="2469"/>
        <w:gridCol w:w="2735"/>
      </w:tblGrid>
      <w:tr w:rsidR="00000000" w14:paraId="10EC92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CC49E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F947F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Débito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0C7B2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9BF4C" w14:textId="77777777" w:rsidR="001627A1" w:rsidRDefault="001627A1">
            <w:pPr>
              <w:spacing w:before="160" w:after="16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Solução sugerida</w:t>
            </w:r>
          </w:p>
        </w:tc>
      </w:tr>
      <w:tr w:rsidR="00000000" w14:paraId="2783E8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EC4BA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DF9D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Style w:val="CdigoHTML"/>
              </w:rPr>
              <w:t>MAIL_BASE_URL</w:t>
            </w:r>
            <w:r>
              <w:rPr>
                <w:rFonts w:eastAsia="Times New Roman"/>
                <w:sz w:val="22"/>
                <w:szCs w:val="22"/>
              </w:rPr>
              <w:t xml:space="preserve"> fixo em </w:t>
            </w:r>
            <w:r>
              <w:rPr>
                <w:rStyle w:val="CdigoHTML"/>
              </w:rPr>
              <w:t>http://localhost:8080</w:t>
            </w:r>
            <w:r>
              <w:rPr>
                <w:rFonts w:eastAsia="Times New Roman"/>
                <w:sz w:val="22"/>
                <w:szCs w:val="22"/>
              </w:rPr>
              <w:t xml:space="preserve"> nos ConfigMaps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6D159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Os links do e-mail assumem port-forward na demo; com o LoadBalancer como front door, apontariam para o host errado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A232B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Promover a variável Terraform preenchida com o hostname do ELB após a criação do Service</w:t>
            </w:r>
          </w:p>
        </w:tc>
      </w:tr>
      <w:tr w:rsidR="00000000" w14:paraId="532BAD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407A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73DAF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MailHog como SMTP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6212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Captura e-mails, não os entrega a caixas reais — adequado à demo, não à produção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22F4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Trocar </w:t>
            </w:r>
            <w:r>
              <w:rPr>
                <w:rStyle w:val="CdigoHTML"/>
              </w:rPr>
              <w:t>SMTP_HOST</w:t>
            </w:r>
            <w:r>
              <w:rPr>
                <w:rFonts w:eastAsia="Times New Roman"/>
                <w:sz w:val="22"/>
                <w:szCs w:val="22"/>
              </w:rPr>
              <w:t>/</w:t>
            </w:r>
            <w:r>
              <w:rPr>
                <w:rStyle w:val="CdigoHTML"/>
              </w:rPr>
              <w:t>SMTP_PORT</w:t>
            </w:r>
            <w:r>
              <w:rPr>
                <w:rFonts w:eastAsia="Times New Roman"/>
                <w:sz w:val="22"/>
                <w:szCs w:val="22"/>
              </w:rPr>
              <w:t xml:space="preserve"> por um relay real (SES/SendGrid); nenhuma classe muda</w:t>
            </w:r>
          </w:p>
        </w:tc>
      </w:tr>
      <w:tr w:rsidR="00000000" w14:paraId="3F2DF8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B2FD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80CE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Perfil único de acesso (Admin)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4993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RBAC Atendente/Mecânico segue não implementado (Hot Spot PA4 da Fase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5D660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Roles no JWT + </w:t>
            </w:r>
            <w:r>
              <w:rPr>
                <w:rStyle w:val="CdigoHTML"/>
              </w:rPr>
              <w:t>@PreAuthorize</w:t>
            </w:r>
            <w:r>
              <w:rPr>
                <w:rFonts w:eastAsia="Times New Roman"/>
                <w:sz w:val="22"/>
                <w:szCs w:val="22"/>
              </w:rPr>
              <w:t xml:space="preserve"> por perfil</w:t>
            </w:r>
          </w:p>
        </w:tc>
      </w:tr>
      <w:tr w:rsidR="00000000" w14:paraId="18752E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374AD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00762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Nós do EKS em subnets públicas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82214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Trade-off deliberado de custo (sem NAT Gateway) aceitável só porque o cluster é efêmero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02D43" w14:textId="77777777" w:rsidR="001627A1" w:rsidRDefault="001627A1">
            <w:pPr>
              <w:spacing w:before="160" w:after="16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NAT Gateway + subnets privadas num ambiente permanente</w:t>
            </w:r>
          </w:p>
        </w:tc>
      </w:tr>
    </w:tbl>
    <w:p w14:paraId="62885899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8. Conclusão</w:t>
      </w:r>
    </w:p>
    <w:p w14:paraId="23BBE350" w14:textId="77777777" w:rsidR="001627A1" w:rsidRDefault="001627A1">
      <w:pPr>
        <w:pStyle w:val="NormalWeb"/>
        <w:jc w:val="both"/>
      </w:pPr>
      <w:r>
        <w:t xml:space="preserve">A Fase 2 transformou o MVP da Fase 1 em um sistema implantável, escalável e reprodutível de ponta a ponta. As funcionalidades pedidas pelo edital — listagem priorizada com exclusão lógica, aprovação externa de orçamento e atualização de status via e-mail — foram implementadas como extensões naturais do domínio existente, o que validou na prática as fronteiras desenhadas na Fase 1: o ACL de notificação recebeu seu canal concreto e o agregado </w:t>
      </w:r>
      <w:r>
        <w:rPr>
          <w:rStyle w:val="CdigoHTML"/>
        </w:rPr>
        <w:t>OrdemServico</w:t>
      </w:r>
      <w:r>
        <w:t xml:space="preserve"> </w:t>
      </w:r>
      <w:r>
        <w:t>absorveu token de aprovação e exclusão lógica sem que nenhum use case anterior fosse reescrito.</w:t>
      </w:r>
    </w:p>
    <w:p w14:paraId="7A0C45F5" w14:textId="77777777" w:rsidR="001627A1" w:rsidRDefault="001627A1">
      <w:pPr>
        <w:pStyle w:val="NormalWeb"/>
        <w:jc w:val="both"/>
      </w:pPr>
      <w:r>
        <w:t>Na infraestrutura, a mesma aplicação roda em três alvos com artefatos idênticos — Docker Compose no inner-loop, kind com custo zero e EKS + RDS na AWS — provisionados por Terraform e operados inteiramente pelo GitHub Actions, com aprovação humana obrigatória em qualquer passo que crie custo e destruição completa com um clique. A escalabilidade dinâmica exigida é demonstrável: HPA de 2 a 8 réplicas reagindo a carga gerada por k6.</w:t>
      </w:r>
    </w:p>
    <w:p w14:paraId="43E4B64C" w14:textId="77777777" w:rsidR="001627A1" w:rsidRDefault="001627A1">
      <w:pPr>
        <w:pStyle w:val="NormalWeb"/>
        <w:jc w:val="both"/>
      </w:pPr>
      <w:r>
        <w:t>A régua de qualidade não cedeu à pressa da fase: 122 testes, cobertura de domínio travada em 80% no build, quality gate SonarCloud bloqueante, OWASP a cada push e os quatro débitos técnicos da Fase 1 quitados — incluindo o Domain Storytelling apontado na avaliação anterior.</w:t>
      </w:r>
    </w:p>
    <w:p w14:paraId="383269D6" w14:textId="77777777" w:rsidR="001627A1" w:rsidRDefault="001627A1">
      <w:pPr>
        <w:pStyle w:val="Ttulo2"/>
        <w:jc w:val="both"/>
        <w:rPr>
          <w:rFonts w:eastAsia="Times New Roman"/>
        </w:rPr>
      </w:pPr>
      <w:r>
        <w:rPr>
          <w:rFonts w:eastAsia="Times New Roman"/>
        </w:rPr>
        <w:t>9. Referências Bibliográficas</w:t>
      </w:r>
    </w:p>
    <w:p w14:paraId="0113039F" w14:textId="77777777" w:rsidR="001627A1" w:rsidRDefault="001627A1">
      <w:pPr>
        <w:pStyle w:val="NormalWeb"/>
        <w:jc w:val="both"/>
      </w:pPr>
      <w:r>
        <w:t xml:space="preserve">EVANS, E. </w:t>
      </w:r>
      <w:r>
        <w:rPr>
          <w:i/>
          <w:iCs/>
        </w:rPr>
        <w:t>Domain-Driven Design: Tackling Complexity in the Heart of Software.</w:t>
      </w:r>
      <w:r>
        <w:t xml:space="preserve"> Boston: Addison-Wesley, 2003.</w:t>
      </w:r>
    </w:p>
    <w:p w14:paraId="517EAC2C" w14:textId="77777777" w:rsidR="001627A1" w:rsidRDefault="001627A1">
      <w:pPr>
        <w:pStyle w:val="NormalWeb"/>
        <w:jc w:val="both"/>
      </w:pPr>
      <w:r>
        <w:t xml:space="preserve">VERNON, V. </w:t>
      </w:r>
      <w:r>
        <w:rPr>
          <w:i/>
          <w:iCs/>
        </w:rPr>
        <w:t>Implementing Domain-Driven Design.</w:t>
      </w:r>
      <w:r>
        <w:t xml:space="preserve"> Boston: Addison-Wesley, 2013.</w:t>
      </w:r>
    </w:p>
    <w:p w14:paraId="03A003C8" w14:textId="77777777" w:rsidR="001627A1" w:rsidRDefault="001627A1">
      <w:pPr>
        <w:pStyle w:val="NormalWeb"/>
        <w:jc w:val="both"/>
      </w:pPr>
      <w:r>
        <w:t xml:space="preserve">BURNS, B.; BEDA, J.; HIGHTOWER, K. </w:t>
      </w:r>
      <w:r>
        <w:rPr>
          <w:i/>
          <w:iCs/>
        </w:rPr>
        <w:t>Kubernetes: Up and Running.</w:t>
      </w:r>
      <w:r>
        <w:t xml:space="preserve"> 3. ed. Sebastopol: O'Reilly, 2022.</w:t>
      </w:r>
    </w:p>
    <w:p w14:paraId="2CBDCEE6" w14:textId="77777777" w:rsidR="001627A1" w:rsidRDefault="001627A1">
      <w:pPr>
        <w:pStyle w:val="NormalWeb"/>
        <w:jc w:val="both"/>
      </w:pPr>
      <w:r>
        <w:t xml:space="preserve">HASHICORP. </w:t>
      </w:r>
      <w:r>
        <w:rPr>
          <w:i/>
          <w:iCs/>
        </w:rPr>
        <w:t>Terraform Documentation.</w:t>
      </w:r>
      <w:r>
        <w:t xml:space="preserve"> Disponível em: https://developer.hashicorp.com/terraform/docs. Acesso em: julho 2026.</w:t>
      </w:r>
    </w:p>
    <w:p w14:paraId="08B70CB9" w14:textId="77777777" w:rsidR="001627A1" w:rsidRDefault="001627A1">
      <w:pPr>
        <w:pStyle w:val="NormalWeb"/>
        <w:jc w:val="both"/>
      </w:pPr>
      <w:r>
        <w:t xml:space="preserve">KUBERNETES. </w:t>
      </w:r>
      <w:r>
        <w:rPr>
          <w:i/>
          <w:iCs/>
        </w:rPr>
        <w:t>Horizontal Pod Autoscaling.</w:t>
      </w:r>
      <w:r>
        <w:t xml:space="preserve"> Disponível em: https://kubernetes.io/docs/tasks/run-application/horizontal-pod-autoscale/. Acesso em: julho 2026.</w:t>
      </w:r>
    </w:p>
    <w:p w14:paraId="716FCD67" w14:textId="77777777" w:rsidR="001627A1" w:rsidRDefault="001627A1">
      <w:pPr>
        <w:pStyle w:val="NormalWeb"/>
        <w:jc w:val="both"/>
      </w:pPr>
      <w:r>
        <w:t xml:space="preserve">AMAZON WEB SERVICES. </w:t>
      </w:r>
      <w:r>
        <w:rPr>
          <w:i/>
          <w:iCs/>
        </w:rPr>
        <w:t>Amazon EKS User Guide.</w:t>
      </w:r>
      <w:r>
        <w:t xml:space="preserve"> Disponível em: https://docs.aws.amazon.com/eks/latest/userguide/. Acesso em: julho 2026.</w:t>
      </w:r>
    </w:p>
    <w:p w14:paraId="6927CB19" w14:textId="77777777" w:rsidR="001627A1" w:rsidRDefault="001627A1">
      <w:pPr>
        <w:pStyle w:val="NormalWeb"/>
        <w:jc w:val="both"/>
      </w:pPr>
      <w:r>
        <w:t xml:space="preserve">OWASP Foundation. </w:t>
      </w:r>
      <w:r>
        <w:rPr>
          <w:i/>
          <w:iCs/>
        </w:rPr>
        <w:t>OWASP Dependency-Check.</w:t>
      </w:r>
      <w:r>
        <w:t xml:space="preserve"> Disponível em: https://owasp.org/www-project-dependency-check/. Acesso em: julho 2026.</w:t>
      </w:r>
    </w:p>
    <w:sectPr w:rsidR="00162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848"/>
    <w:multiLevelType w:val="multilevel"/>
    <w:tmpl w:val="FEE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B4BF8"/>
    <w:multiLevelType w:val="multilevel"/>
    <w:tmpl w:val="24D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9069F"/>
    <w:multiLevelType w:val="multilevel"/>
    <w:tmpl w:val="6CF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36877">
    <w:abstractNumId w:val="1"/>
  </w:num>
  <w:num w:numId="2" w16cid:durableId="843670442">
    <w:abstractNumId w:val="2"/>
  </w:num>
  <w:num w:numId="3" w16cid:durableId="131992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CA"/>
    <w:rsid w:val="001627A1"/>
    <w:rsid w:val="006112CA"/>
    <w:rsid w:val="00D1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3EFE8"/>
  <w15:chartTrackingRefBased/>
  <w15:docId w15:val="{4C7BC04C-23BE-4ECE-B11F-32EE09B7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280" w:after="100" w:afterAutospacing="1"/>
      <w:outlineLvl w:val="2"/>
    </w:pPr>
    <w:rPr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  <w:ind w:left="480" w:right="480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</w:pPr>
    <w:rPr>
      <w:b/>
      <w:bCs/>
      <w:color w:val="B45309"/>
    </w:rPr>
  </w:style>
  <w:style w:type="character" w:customStyle="1" w:styleId="placeholder1">
    <w:name w:val="placeholder1"/>
    <w:basedOn w:val="Fontepargpadro"/>
    <w:rPr>
      <w:b/>
      <w:bCs/>
      <w:color w:val="B4530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98872">
      <w:blockQuote w:val="1"/>
      <w:marLeft w:val="480"/>
      <w:marRight w:val="48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3199</Words>
  <Characters>17279</Characters>
  <Application>Microsoft Office Word</Application>
  <DocSecurity>0</DocSecurity>
  <Lines>143</Lines>
  <Paragraphs>40</Paragraphs>
  <ScaleCrop>false</ScaleCrop>
  <Company/>
  <LinksUpToDate>false</LinksUpToDate>
  <CharactersWithSpaces>20438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— Fase 2 — Documento de Entrega</dc:title>
  <dc:subject/>
  <dc:creator>Danilo Canato</dc:creator>
  <cp:keywords/>
  <dc:description/>
  <cp:lastModifiedBy>Danilo Canato</cp:lastModifiedBy>
  <cp:revision>2</cp:revision>
  <dcterms:created xsi:type="dcterms:W3CDTF">2026-07-14T20:52:00Z</dcterms:created>
  <dcterms:modified xsi:type="dcterms:W3CDTF">2026-07-14T20:52:00Z</dcterms:modified>
</cp:coreProperties>
</file>