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before="0" w:after="120"/>
        <w:jc w:val="center"/>
      </w:pPr>
      <w:r>
        <w:rPr>
          <w:rFonts w:ascii="Times New Roman" w:hAnsi="Times New Roman"/>
          <w:b/>
          <w:i w:val="0"/>
          <w:color w:val="1F3A5F"/>
          <w:sz w:val="36"/>
        </w:rPr>
        <w:t>SISTEMA INTEGRADO DE ATENDIMENTO E EXECUÇÃO DE SERVIÇOS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color w:val="555555"/>
          <w:sz w:val="28"/>
        </w:rPr>
        <w:t>Tech Challenge — Fase 3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/>
          <w:color w:val="555555"/>
          <w:sz w:val="24"/>
        </w:rPr>
        <w:t>Segurança, observabilidade e operação em nuvem</w:t>
      </w:r>
    </w:p>
    <w:p/>
    <w:p/>
    <w:p/>
    <w:p/>
    <w:p/>
    <w:p/>
    <w:p>
      <w:pPr>
        <w:spacing w:before="0" w:after="40"/>
        <w:jc w:val="center"/>
      </w:pPr>
      <w:r>
        <w:rPr>
          <w:rFonts w:ascii="Times New Roman" w:hAnsi="Times New Roman"/>
          <w:b w:val="0"/>
          <w:i w:val="0"/>
          <w:sz w:val="24"/>
        </w:rPr>
        <w:t>Danilo Canato — RM 372411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sz w:val="24"/>
        </w:rPr>
        <w:t>Guilherme Fumagali Marques — RM 372421</w:t>
      </w:r>
    </w:p>
    <w:p/>
    <w:p/>
    <w:p/>
    <w:p/>
    <w:p/>
    <w:p/>
    <w:p>
      <w:pPr>
        <w:spacing w:before="0" w:after="40"/>
        <w:jc w:val="center"/>
      </w:pPr>
      <w:r>
        <w:rPr>
          <w:rFonts w:ascii="Times New Roman" w:hAnsi="Times New Roman"/>
          <w:b w:val="0"/>
          <w:i w:val="0"/>
          <w:color w:val="555555"/>
          <w:sz w:val="22"/>
        </w:rPr>
        <w:t>PosTech FIAP — Arquitetura de Software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color w:val="555555"/>
          <w:sz w:val="22"/>
        </w:rPr>
        <w:t>Setembro de 2026</w:t>
      </w:r>
    </w:p>
    <w:p>
      <w:r>
        <w:br w:type="page"/>
      </w:r>
    </w:p>
    <w:p>
      <w:pPr>
        <w:pStyle w:val="Heading2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8"/>
        </w:rPr>
        <w:t>Referências de Entrega</w:t>
      </w:r>
    </w:p>
    <w:p>
      <w:pPr>
        <w:spacing w:before="0" w:after="120"/>
        <w:jc w:val="both"/>
      </w:pPr>
      <w:r>
        <w:rPr>
          <w:rFonts w:ascii="Times New Roman" w:hAnsi="Times New Roman"/>
          <w:b w:val="0"/>
          <w:i w:val="0"/>
          <w:sz w:val="24"/>
        </w:rPr>
        <w:t>Os quatro repositórios exigidos, o vídeo de demonstração e a documentação arquitetural. Todos com o usuário soat-architecture adicionado como colaborador.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381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Repositório</w:t>
            </w:r>
          </w:p>
        </w:tc>
        <w:tc>
          <w:tcPr>
            <w:tcW w:type="dxa" w:w="3118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Conteúdo</w:t>
            </w:r>
          </w:p>
        </w:tc>
        <w:tc>
          <w:tcPr>
            <w:tcW w:type="dxa" w:w="3572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Link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oficina-api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Aplicação Spring Boot</w:t>
            </w:r>
          </w:p>
        </w:tc>
        <w:tc>
          <w:tcPr>
            <w:tcW w:type="dxa" w:w="357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github.com/&lt;org&gt;/oficina-api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oficina-auth-lambda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Function de autenticação por CPF</w:t>
            </w:r>
          </w:p>
        </w:tc>
        <w:tc>
          <w:tcPr>
            <w:tcW w:type="dxa" w:w="357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github.com/&lt;org&gt;/oficina-auth-lambda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oficina-infra-k8s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Rede, EKS, ECR, API Gateway, New Relic</w:t>
            </w:r>
          </w:p>
        </w:tc>
        <w:tc>
          <w:tcPr>
            <w:tcW w:type="dxa" w:w="357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github.com/&lt;org&gt;/oficina-infra-k8s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oficina-infra-db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RDS PostgreSQL gerenciado</w:t>
            </w:r>
          </w:p>
        </w:tc>
        <w:tc>
          <w:tcPr>
            <w:tcW w:type="dxa" w:w="357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github.com/&lt;org&gt;/oficina-infra-db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3969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Artefato</w:t>
            </w:r>
          </w:p>
        </w:tc>
        <w:tc>
          <w:tcPr>
            <w:tcW w:type="dxa" w:w="5102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Link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Vídeo de demonstração (≤ 15 min)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&lt;preencher antes da entrega&gt;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Swagger / OpenAPI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&lt;url-do-gateway&gt;/swagger-ui.html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Deploy ativo (API Gateway)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&lt;preencher com o output api_gateway_url&gt;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Dashboard de negócio (New Relic)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&lt;preencher&gt;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RFCs, ADRs e diagramas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oficina-api/docs/tech-challenge-3/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8"/>
        </w:rPr>
        <w:t>1. Introdução e Contexto do Problema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oficina mecânica que este sistema atende expandiu para múltiplas unidades, e a base de clientes cresce de forma constante. O que era um problema de organização interna — substituir planilhas por um sistema — passou a ser um problema de operação: controlar quem acessa o quê, enxergar o comportamento do sistema em tempo real e sustentar picos sem intervenção manual.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Esta fase não adiciona funcionalidade de negócio. Todos os requisitos tratam de capacidade operacional: autenticação segura na borda, segregação de responsabilidades entre repositórios, infraestrutura de nuvem declarada em código e observabilidade com plataforma de mercado.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1.1 O que a Fase 2 já havia entregue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Boa parte da infraestrutura exigida pelo enunciado da Fase 3 já existia. O levantamento do repositório antes de iniciar a implementação mostrou que dois dos cinco requisitos de infraestrutura estavam atendidos: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3969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Requisito da Fase 3</w:t>
            </w:r>
          </w:p>
        </w:tc>
        <w:tc>
          <w:tcPr>
            <w:tcW w:type="dxa" w:w="5102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Situação ao iniciar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Cluster Kubernetes com escalabilidade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EKS + HPA por CPU e memória, já provisionados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Banco de dados gerenciado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RDS PostgreSQL 16, publicly_accessible = false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Terraform para provisionamento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VPC, EKS, RDS e backend de state em S3 + DynamoDB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API Gateway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Não existia — Spring Security era a única borda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Function serverless para autenticação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Não existia — o monolito emitia o próprio token</w:t>
            </w:r>
          </w:p>
        </w:tc>
      </w:tr>
    </w:tbl>
    <w:p>
      <w:pPr>
        <w:spacing w:after="80"/>
      </w:pP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trabalho real concentrou-se, portanto, em três frentes: mover a autenticação para fora da aplicação, segregar o monorepo em quatro repositórios com esteiras próprias, e instrumentar o sistema de ponta a ponta.</w:t>
      </w:r>
    </w:p>
    <w:p>
      <w:r>
        <w:br w:type="page"/>
      </w:r>
    </w:p>
    <w:p>
      <w:pPr>
        <w:pStyle w:val="Heading2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8"/>
        </w:rPr>
        <w:t>2. Evolução da Aplicação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2.1 A aplicação deixou de emitir tokens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decisão mais estrutural da fase. Até a Fase 2, o próprio monolito autenticava: um AuthController expunha login, refresh e logout, o JwtService assinava o token, e um único usuário admin vivia em memória.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partir da Fase 3, quem emite é uma função Lambda. A aplicação virou exclusivamente validadora. Foram removidos o AuthController, o UserDetailsConfig, o RefreshTokenService e os três DTOs associados; o JwtService perdeu o método de geração e manteve apenas a verificação de assinatura e a leitura de claims.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ganho não é performance — é ter um único emissor: um lugar para rotacionar a chave, uma semântica de claims e um ponto de auditoria. A alternativa de manter dois emissores, um para clientes e outro para administradores, foi descartada por criar dois domínios de confiança sobre a mesma API.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2.2 Métricas de negócio no domínio, sem poluir os casos de uso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Os três painéis exigidos pelo enunciado — volume diário de ordens, tempo médio por status e erros de integração — não saem do agente de APM. Ele entrega latência e erro HTTP, mas não sabe o que é uma ordem de serviço.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solução óbvia seria injetar o MeterRegistry em cada caso de uso, alterando nove construtores. Em vez disso, o agregado OrdemServico passou a acumular eventos de transição num método único, que já valida a mudança de status e mede a permanência no estado anterior; o adaptador de persistência drena esses eventos no salvar, que é o funil por onde toda transição passa.</w:t>
      </w:r>
    </w:p>
    <w:p>
      <w:pPr>
        <w:spacing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O resultado é que a métrica descreve </w:t>
      </w:r>
      <w:r>
        <w:rPr>
          <w:rFonts w:ascii="Times New Roman" w:hAnsi="Times New Roman"/>
          <w:b/>
          <w:i w:val="0"/>
          <w:sz w:val="24"/>
        </w:rPr>
        <w:t>evento de negócio</w:t>
      </w:r>
      <w:r>
        <w:rPr>
          <w:rFonts w:ascii="Times New Roman" w:hAnsi="Times New Roman"/>
          <w:b w:val="0"/>
          <w:i w:val="0"/>
          <w:sz w:val="24"/>
        </w:rPr>
        <w:t>, não requisição HTTP: se amanhã a ordem for aberta por outro canal, a contagem continua correta. E o domínio não conhece Micrometer.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2.3 Ajustes no modelo relacional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Duas migrations, ambas motivadas por requisito e não por conveniência: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417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Migration</w:t>
            </w:r>
          </w:p>
        </w:tc>
        <w:tc>
          <w:tcPr>
            <w:tcW w:type="dxa" w:w="3118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Mudança</w:t>
            </w:r>
          </w:p>
        </w:tc>
        <w:tc>
          <w:tcPr>
            <w:tcW w:type="dxa" w:w="4535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Motivo</w:t>
            </w:r>
          </w:p>
        </w:tc>
      </w:tr>
      <w:tr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V6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clientes.status + constraint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 Lambda consulta a existência E o status do cliente</w:t>
            </w:r>
          </w:p>
        </w:tc>
      </w:tr>
      <w:tr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V6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idx_clientes_cpf_status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Consulta executada a cada autenticação</w:t>
            </w:r>
          </w:p>
        </w:tc>
      </w:tr>
      <w:tr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V6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idx_os_status_abertura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Listagem por prioridade e agregações dos dashboards</w:t>
            </w:r>
          </w:p>
        </w:tc>
      </w:tr>
      <w:tr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V7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ordens_servico.data_ultima_transicao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Sem ela não há como medir permanência por status</w:t>
            </w:r>
          </w:p>
        </w:tc>
      </w:tr>
    </w:tbl>
    <w:p>
      <w:pPr>
        <w:spacing w:after="80"/>
      </w:pP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DEFAULT 'ATIVO' na coluna de status garante que os registros existentes continuem autenticando após o deploy. O backfill da V7 usa COALESCE sobre as datas existentes — a melhor aproximação disponível para ordens antigas.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2.4 Débitos técnicos da Fase 2 — situação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Fase 2 encerrou com um débito aberto, o DT-01: o e-mail de aprovação de orçamento exibe apenas o valor total, sem detalhar quais serviços e peças compõem o valor.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Ele permanece aberto. O escopo da Fase 3 é infraestrutura, segurança e observabilidade — nenhum requisito toca o conteúdo da notificação. Quitá-lo junto com uma eventual migração da notificação para SNS/SES é a oportunidade natural, e segue adiado enquanto essa migração não estiver no escopo.</w:t>
      </w:r>
    </w:p>
    <w:p>
      <w:r>
        <w:br w:type="page"/>
      </w:r>
    </w:p>
    <w:p>
      <w:pPr>
        <w:pStyle w:val="Heading2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8"/>
        </w:rPr>
        <w:t>3. Autenticação e API Gateway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3.1 O fluxo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cliente informa o CPF ao API Gateway, que encaminha para a função Lambda. Ela normaliza o CPF e valida o dígito verificador antes de qualquer acesso ao banco; consulta a existência e o status do cliente; e, se estiver ativo, assina um JWT de quinze minutos. Nas requisições seguintes, um Lambda authorizer valida a assinatura na borda, com cache de trezentos segundos.</w:t>
      </w:r>
    </w:p>
    <w:p>
      <w:pPr>
        <w:spacing w:before="80" w:after="160" w:line="240" w:lineRule="auto"/>
        <w:ind w:left="567"/>
        <w:shd w:val="clear" w:fill="F3F4F6"/>
      </w:pPr>
      <w:r>
        <w:rPr>
          <w:rFonts w:ascii="Consolas" w:hAnsi="Consolas"/>
          <w:b w:val="0"/>
          <w:i w:val="0"/>
          <w:color w:val="555555"/>
          <w:sz w:val="19"/>
        </w:rPr>
        <w:t>POST /auth  { "cpf": "529.982.247-25" }</w:t>
        <w:br/>
        <w:t xml:space="preserve">  → 200  { accessToken, tokenType: "Bearer", expiresIn: 900 }</w:t>
        <w:br/>
        <w:t xml:space="preserve">  → 400  CPF_INVALIDO           (sem tocar no banco)</w:t>
        <w:br/>
        <w:t xml:space="preserve">  → 404  CLIENTE_NAO_ENCONTRADO</w:t>
        <w:br/>
        <w:t xml:space="preserve">  → 403  CLIENTE_INATIVO</w:t>
      </w:r>
    </w:p>
    <w:p>
      <w:pPr>
        <w:spacing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As respostas de 404 e 403 carregam </w:t>
      </w:r>
      <w:r>
        <w:rPr>
          <w:rFonts w:ascii="Times New Roman" w:hAnsi="Times New Roman"/>
          <w:b/>
          <w:i w:val="0"/>
          <w:sz w:val="24"/>
        </w:rPr>
        <w:t>a mesma mensagem</w:t>
      </w:r>
      <w:r>
        <w:rPr>
          <w:rFonts w:ascii="Times New Roman" w:hAnsi="Times New Roman"/>
          <w:b w:val="0"/>
          <w:i w:val="0"/>
          <w:sz w:val="24"/>
        </w:rPr>
        <w:t>. O código específico existe para o log e para o suporte; o corpo é genérico de propósito, para que ninguém use o endpoint como oráculo para descobrir quais CPFs existem na base.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subject do token é o UUID do cliente, não o CPF. É uma decisão deliberada: evita que o identificador se espalhe pelos logs de todas as requisições seguintes.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3.2 A escolha do gateway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As disciplinas da fase apresentam três caminhos. A comparação, e a razão da escolha: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154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Opção</w:t>
            </w:r>
          </w:p>
        </w:tc>
        <w:tc>
          <w:tcPr>
            <w:tcW w:type="dxa" w:w="3402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A favor</w:t>
            </w:r>
          </w:p>
        </w:tc>
        <w:tc>
          <w:tcPr>
            <w:tcW w:type="dxa" w:w="3515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Por que não foi escolhida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Azure APIM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Portal do desenvolvedor, políticas e cache prontos</w:t>
            </w:r>
          </w:p>
        </w:tc>
        <w:tc>
          <w:tcPr>
            <w:tcW w:type="dxa" w:w="351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Exigiria trocar de nuvem e abandonar a infra da Fase 2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Kong (open source)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Agnóstico de nuvem, plugin JWT com Consumers</w:t>
            </w:r>
          </w:p>
        </w:tc>
        <w:tc>
          <w:tcPr>
            <w:tcW w:type="dxa" w:w="351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Rodaria dentro do cluster que deveria proteger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AWS API Gateway HTTP API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Integração nativa com Lambda, menor custo e latência</w:t>
            </w:r>
          </w:p>
        </w:tc>
        <w:tc>
          <w:tcPr>
            <w:tcW w:type="dxa" w:w="351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Escolhido</w:t>
            </w:r>
          </w:p>
        </w:tc>
      </w:tr>
    </w:tbl>
    <w:p>
      <w:pPr>
        <w:spacing w:after="80"/>
      </w:pP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Entre os três modos do AWS API Gateway, o HTTP API foi escolhido por custo e latência. A REST API traz chave de API, throttling por cliente e integração com WAF — nenhum deles exigido nesta entrega. Se rate limiting por cliente virar requisito, a decisão deve ser revista.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3.3 Rotas protegidas e as que ficam de fora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Três rotas permanecem fora do fluxo de autenticação por CPF, por decisão e não por esquecimento: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/>
          <w:i w:val="0"/>
          <w:sz w:val="24"/>
        </w:rPr>
        <w:t xml:space="preserve">GET /api/ordens/{id}/status — </w:t>
      </w:r>
      <w:r>
        <w:rPr>
          <w:rFonts w:ascii="Times New Roman" w:hAnsi="Times New Roman"/>
          <w:b w:val="0"/>
          <w:i w:val="0"/>
          <w:sz w:val="24"/>
        </w:rPr>
        <w:t>consulta pública de status de uma ordem, por identificador opaco.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/>
          <w:i w:val="0"/>
          <w:sz w:val="24"/>
        </w:rPr>
        <w:t xml:space="preserve">Rotas de aprovação externa — </w:t>
      </w:r>
      <w:r>
        <w:rPr>
          <w:rFonts w:ascii="Times New Roman" w:hAnsi="Times New Roman"/>
          <w:b w:val="0"/>
          <w:i w:val="0"/>
          <w:sz w:val="24"/>
        </w:rPr>
        <w:t>recebem a decisão do cliente a partir do link do e-mail, autenticadas por um token de uso único com validade própria.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Submetê-las ao authorizer de CPF quebraria a integração: quem chama é um sistema externo que não possui token JWT. A decisão está registrada no diagrama de sequência e na especificação do gateway.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3.4 Por que um Lambda authorizer, e não o nativo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JWT authorizer nativo do HTTP API é compatível com OIDC: exige emissor, audiência e um endpoint JWKS com chaves públicas. Ele não valida HMAC, porque não há chave pública a publicar quando a assinatura é simétrica.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Manter HMAC foi a decisão de menor atrito sobre o JwtService que já existia e funcionava. O custo — um segredo compartilhado entre três componentes — está declarado como débito técnico, com a migração para RS256 e JWKS registrada como evolução natural.</w:t>
      </w:r>
    </w:p>
    <w:p>
      <w:r>
        <w:br w:type="page"/>
      </w:r>
    </w:p>
    <w:p>
      <w:pPr>
        <w:pStyle w:val="Heading2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8"/>
        </w:rPr>
        <w:t>4. Arquitetura de Nuvem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diagrama de componentes completo, no nível de contêineres do modelo C4, está em docs/tech-challenge-3/diagramas/c2-containers.md. Esta seção cobre as decisões que o diagrama não explica sozinho.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4.1 A rede saiu das subnets públicas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Na Fase 2, nós do cluster e banco viviam em subnets públicas, protegidos por security group. A Aula 04 de Serverless é explícita: banco exposto publicamente é risco grave mesmo com senha forte, e uma API sem autenticação em subnet pública pode ter o IP descoberto e ser atacada.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Migrar exigiu escolher como dar saída de internet a recursos privados. Três caminhos, com preços de lista em us-east-1 e duas zonas de disponibilidade: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835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Opção</w:t>
            </w:r>
          </w:p>
        </w:tc>
        <w:tc>
          <w:tcPr>
            <w:tcW w:type="dxa" w:w="3969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Conta</w:t>
            </w:r>
          </w:p>
        </w:tc>
        <w:tc>
          <w:tcPr>
            <w:tcW w:type="dxa" w:w="2268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US$/mês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NAT Gateway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US$ 0,045/h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~33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VPC interface endpoints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US$ 0,01/h × 4 endpoints × 2 AZs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~58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NAT instance t4g.nano + EIP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US$ 0,0042/h + US$ 0,005/h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~7</w:t>
            </w:r>
          </w:p>
        </w:tc>
      </w:tr>
    </w:tbl>
    <w:p>
      <w:pPr>
        <w:spacing w:after="80"/>
      </w:pPr>
    </w:p>
    <w:p>
      <w:pPr>
        <w:spacing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O resultado contraria a intuição: </w:t>
      </w:r>
      <w:r>
        <w:rPr>
          <w:rFonts w:ascii="Times New Roman" w:hAnsi="Times New Roman"/>
          <w:b/>
          <w:i w:val="0"/>
          <w:sz w:val="24"/>
        </w:rPr>
        <w:t>VPC endpoints saem mais caros que o NAT Gateway</w:t>
      </w:r>
      <w:r>
        <w:rPr>
          <w:rFonts w:ascii="Times New Roman" w:hAnsi="Times New Roman"/>
          <w:b w:val="0"/>
          <w:i w:val="0"/>
          <w:sz w:val="24"/>
        </w:rPr>
        <w:t xml:space="preserve">, porque endpoint de interface é cobrado por endpoint </w:t>
      </w:r>
      <w:r>
        <w:rPr>
          <w:rFonts w:ascii="Times New Roman" w:hAnsi="Times New Roman"/>
          <w:b w:val="0"/>
          <w:i/>
          <w:sz w:val="24"/>
        </w:rPr>
        <w:t>e</w:t>
      </w:r>
      <w:r>
        <w:rPr>
          <w:rFonts w:ascii="Times New Roman" w:hAnsi="Times New Roman"/>
          <w:b w:val="0"/>
          <w:i w:val="0"/>
          <w:sz w:val="24"/>
        </w:rPr>
        <w:t xml:space="preserve"> por zona de disponibilidade. E não resolveriam o problema: a telemetria do New Relic vai para um endpoint público, que nenhum interface endpoint atende.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escolha foi a NAT instance. Há um efeito colateral que economiza mais: em subnet privada os nós deixam de ter IPv4 público, cobrado pela AWS desde fevereiro de 2024 — sete dólares e trinta por mês que estavam sendo gastos sem necessidade.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limitação está declarada: a NAT instance é ponto único de falha em uma zona. O impacto de uma queda é perda de telemetria e falha de pull de imagem, não indisponibilidade da API.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4.2 Registry migrado para o ECR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Com os nós em subnet privada, todo pull de imagem passaria pela NAT instance, que é burstable e de banda limitada — exatamente o cenário que satura durante um scale-out. Com ECR mais o gateway endpoint de S3, que é gratuito, as camadas vêm pelo backbone da AWS sem tocar a NAT.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permissão já existia: o role dos nós carregava AmazonEC2ContainerRegistryReadOnly desde a Fase 2, herança nunca exercida.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4.3 O caminho até a aplicação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API Gateway alcança o cluster por VPC Link, que aponta para um Network Load Balancer interno, que por sua vez encaminha para um NodePort fixo dos nós. O balanceador é criado pelo Terraform, e não por um Service do tipo LoadBalancer, para evitar dependência de ordem entre Terraform e Kubernetes — o alvo existe no mesmo apply.</w:t>
      </w:r>
    </w:p>
    <w:p>
      <w:r>
        <w:br w:type="page"/>
      </w:r>
    </w:p>
    <w:p>
      <w:pPr>
        <w:pStyle w:val="Heading2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8"/>
        </w:rPr>
        <w:t>5. Estrutura de Repositórios e CI/CD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5.1 Os quatro repositórios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monorepo da Fase 2 foi segregado em quatro. O repositório da aplicação foi preservado com todo o histórico das fases anteriores; os outros três nasceram nesta fase, recebendo o conteúdo movido.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268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Repositório</w:t>
            </w:r>
          </w:p>
        </w:tc>
        <w:tc>
          <w:tcPr>
            <w:tcW w:type="dxa" w:w="3118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Conteúdo</w:t>
            </w:r>
          </w:p>
        </w:tc>
        <w:tc>
          <w:tcPr>
            <w:tcW w:type="dxa" w:w="3685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Pipeline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oficina-api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Spring Boot, Dockerfile, testes</w:t>
            </w:r>
          </w:p>
        </w:tc>
        <w:tc>
          <w:tcPr>
            <w:tcW w:type="dxa" w:w="368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build → testes → Sonar → imagem no ECR → deploy no EKS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oficina-auth-lambda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SAM Java 21, duas funções</w:t>
            </w:r>
          </w:p>
        </w:tc>
        <w:tc>
          <w:tcPr>
            <w:tcW w:type="dxa" w:w="368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build → testes → sam deploy → publica ARNs no SSM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oficina-infra-k8s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Rede, EKS, ECR, gateway, New Relic</w:t>
            </w:r>
          </w:p>
        </w:tc>
        <w:tc>
          <w:tcPr>
            <w:tcW w:type="dxa" w:w="368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fmt → validate → plan → apply aprovado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oficina-infra-db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RDS PostgreSQL</w:t>
            </w:r>
          </w:p>
        </w:tc>
        <w:tc>
          <w:tcPr>
            <w:tcW w:type="dxa" w:w="368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fmt → validate → plan → apply aprovado</w:t>
            </w:r>
          </w:p>
        </w:tc>
      </w:tr>
    </w:tbl>
    <w:p>
      <w:pPr>
        <w:spacing w:after="80"/>
      </w:pP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5.2 O contrato entre eles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Segregar repositórios cria o risco de desalinhamento. O acoplamento foi reduzido a um único mecanismo: o SSM Parameter Store, sob o prefixo /oficina/&lt;ambiente&gt;/. Cada repositório publica seus outputs e consome os dos outros por data source.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escolha de SSM em vez de terraform_remote_state é deliberada: assim nenhum repositório precisa de permissão de leitura no state do outro.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5.3 A dependência circular, e como foi resolvida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API Gateway precisa do ARN da Lambda para montar as rotas; a Lambda precisa da rede criada pelo repositório de infraestrutura. Resolvido em duas passagens, controladas por uma variável:</w:t>
      </w:r>
    </w:p>
    <w:p>
      <w:pPr>
        <w:spacing w:before="80" w:after="160" w:line="240" w:lineRule="auto"/>
        <w:ind w:left="567"/>
        <w:shd w:val="clear" w:fill="F3F4F6"/>
      </w:pPr>
      <w:r>
        <w:rPr>
          <w:rFonts w:ascii="Consolas" w:hAnsi="Consolas"/>
          <w:b w:val="0"/>
          <w:i w:val="0"/>
          <w:color w:val="555555"/>
          <w:sz w:val="19"/>
        </w:rPr>
        <w:t>1. oficina-infra-k8s   apply 1 — rede, EKS, ECR, gateway sem as rotas da Lambda</w:t>
        <w:br/>
        <w:t>2. oficina-infra-db    RDS nas subnets privadas</w:t>
        <w:br/>
        <w:t>3. oficina-api         imagem no ECR + Flyway aplica V6 e V7</w:t>
        <w:br/>
        <w:t>4. oficina-auth-lambda funções + publica ARNs no SSM</w:t>
        <w:br/>
        <w:t>5. oficina-infra-k8s   apply 2 — enable_lambda_routes = true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passo 3 antes do 4 é obrigatório: a Lambda consulta a coluna de status criada pela migration V6. A ordem está documentada no README de cada repositório.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5.4 Proteção e ambientes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 w:val="0"/>
          <w:i w:val="0"/>
          <w:sz w:val="24"/>
        </w:rPr>
        <w:t>branch main protegida, sem push direto, inclusive para administradores.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 w:val="0"/>
          <w:i w:val="0"/>
          <w:sz w:val="24"/>
        </w:rPr>
        <w:t>merge exclusivamente por Pull Request, com status checks verdes.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 w:val="0"/>
          <w:i w:val="0"/>
          <w:sz w:val="24"/>
        </w:rPr>
        <w:t>develop entrega em homologação e main em produção, ambos automáticos.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 w:val="0"/>
          <w:i w:val="0"/>
          <w:sz w:val="24"/>
        </w:rPr>
        <w:t>o apply em produção exige aprovação humana no GitHub Environment.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 w:val="0"/>
          <w:i w:val="0"/>
          <w:sz w:val="24"/>
        </w:rPr>
        <w:t>autenticação com a AWS por OIDC nos quatro repositórios — nenhum secret de chave de acesso de longa duração.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Homologação e produção compartilham cluster e instância de banco, separados por namespace e database. Duplicar a infraestrutura custaria mais setenta e três dólares mensais só de control plane. É um compromisso de orçamento, declarado como débito técnico e não apresentado como boa prática.</w:t>
      </w:r>
    </w:p>
    <w:p>
      <w:r>
        <w:br w:type="page"/>
      </w:r>
    </w:p>
    <w:p>
      <w:pPr>
        <w:pStyle w:val="Heading2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8"/>
        </w:rPr>
        <w:t>6. Banco de Dados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6.1 Justificativa formal da escolha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escolha é de continuidade: PostgreSQL 16 em Amazon RDS, mantido da Fase 2. A justificativa não é inércia, e as alternativas foram avaliadas formalmente na RFC-002.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domínio é fortemente relacional. Há integridade referencial entre cinco tabelas e junção em toda consulta de ordem de serviço. O schema depende de recursos específicos do PostgreSQL: a extensão pgcrypto, geração de UUID no servidor, tipo numérico exato para valores monetários e constraints CHECK nomeadas que espelham as invariantes do domínio.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154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Alternativa</w:t>
            </w:r>
          </w:p>
        </w:tc>
        <w:tc>
          <w:tcPr>
            <w:tcW w:type="dxa" w:w="3402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A favor</w:t>
            </w:r>
          </w:p>
        </w:tc>
        <w:tc>
          <w:tcPr>
            <w:tcW w:type="dxa" w:w="3515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Por que não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Amazon DynamoDB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Escala melhor com Lambda, sem limite de conexões</w:t>
            </w:r>
          </w:p>
        </w:tc>
        <w:tc>
          <w:tcPr>
            <w:tcW w:type="dxa" w:w="351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Exigiria desnormalizar e reescrever a persistência inteira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Aurora Serverless v2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Compatível com PostgreSQL, escala a zero</w:t>
            </w:r>
          </w:p>
        </w:tc>
        <w:tc>
          <w:tcPr>
            <w:tcW w:type="dxa" w:w="351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Capacidade mínima custa mais que a instância atual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MySQL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Nenhuma vantagem técnica no caso</w:t>
            </w:r>
          </w:p>
        </w:tc>
        <w:tc>
          <w:tcPr>
            <w:tcW w:type="dxa" w:w="351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Schema já depende de recursos do PostgreSQL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PostgreSQL 16 em RDS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Zero migração, zero reescrita, integridade preservada</w:t>
            </w:r>
          </w:p>
        </w:tc>
        <w:tc>
          <w:tcPr>
            <w:tcW w:type="dxa" w:w="351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Escolhido</w:t>
            </w:r>
          </w:p>
        </w:tc>
      </w:tr>
    </w:tbl>
    <w:p>
      <w:pPr>
        <w:spacing w:after="80"/>
      </w:pP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6.2 Explicação dos relacionamentos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diagrama entidade-relacionamento completo está em docs/tech-challenge-3/diagramas/der-modelo-relacional.md. Os relacionamentos e o raciocínio por trás de cada um: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/>
          <w:i w:val="0"/>
          <w:sz w:val="24"/>
        </w:rPr>
        <w:t xml:space="preserve">Clientes 1—N Veículos: </w:t>
      </w:r>
      <w:r>
        <w:rPr>
          <w:rFonts w:ascii="Times New Roman" w:hAnsi="Times New Roman"/>
          <w:b w:val="0"/>
          <w:i w:val="0"/>
          <w:sz w:val="24"/>
        </w:rPr>
        <w:t>um cliente possui zero ou mais veículos, e todo veículo pertence a exatamente um cliente. Não existe veículo órfão no modelo, e a placa é única globalmente.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/>
          <w:i w:val="0"/>
          <w:sz w:val="24"/>
        </w:rPr>
        <w:t xml:space="preserve">Ordens de Serviço: </w:t>
      </w:r>
      <w:r>
        <w:rPr>
          <w:rFonts w:ascii="Times New Roman" w:hAnsi="Times New Roman"/>
          <w:b w:val="0"/>
          <w:i w:val="0"/>
          <w:sz w:val="24"/>
        </w:rPr>
        <w:t>a ordem carrega duas chaves estrangeiras — cliente e veículo — ainda que o cliente pudesse ser derivado do veículo. É desnormalização deliberada: o titular pode mudar, e a ordem precisa preservar quem era o cliente na abertura.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/>
          <w:i w:val="0"/>
          <w:sz w:val="24"/>
        </w:rPr>
        <w:t xml:space="preserve">Ordem 1—N Itens: </w:t>
      </w:r>
      <w:r>
        <w:rPr>
          <w:rFonts w:ascii="Times New Roman" w:hAnsi="Times New Roman"/>
          <w:b w:val="0"/>
          <w:i w:val="0"/>
          <w:sz w:val="24"/>
        </w:rPr>
        <w:t>composição, não agregação. Os itens não existem sem a ordem, o que o ON DELETE CASCADE reflete. É a fronteira do agregado no domínio.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/>
          <w:i w:val="0"/>
          <w:sz w:val="24"/>
        </w:rPr>
        <w:t xml:space="preserve">Catálogo e Itens: </w:t>
      </w:r>
      <w:r>
        <w:rPr>
          <w:rFonts w:ascii="Times New Roman" w:hAnsi="Times New Roman"/>
          <w:b w:val="0"/>
          <w:i w:val="0"/>
          <w:sz w:val="24"/>
        </w:rPr>
        <w:t>relacionamento N—N resolvido pelas tabelas de itens, que não são meras tabelas de junção: carregam quantidade e snapshot de preço.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padrão de snapshot merece destaque porque parece redundância acidental e não é: um orçamento aprovado precisa continuar valendo o que valia quando foi aprovado. Se o preço de uma peça subir depois, a ordem já fechada não pode mudar de valor retroativamente. A chave estrangeira para o catálogo permanece para rastreabilidade; o valor cobrado vem do snapshot.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6.3 Invariantes protegidas no banco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As constraints funcionam como segunda linha de defesa das regras de domínio: se algum caminho de escrita escapar da aplicação, o banco ainda recusa. chk_status espelha os sete estados da ordem; chk_cliente_status, os três de situação cadastral; chk_estoque_nao_negativo impede estoque negativo; e as unicidades de CPF e placa impedem duplicação.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6.4 Limitações aceitas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instância é Single-AZ, sem failover automático, e o destroy não gera snapshot final. São decisões conscientes de custo para ambiente de estudo, coerentes com a estratégia de destruir o ambiente entre sessões de trabalho.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limite de aproximadamente oitenta e cinco conexões simultâneas da classe utilizada é o ponto que mais exigiu atenção nesta fase, porque a Lambda escala por invocação. A contenção foi explícita: concorrência reservada em dez, uma conexão por container de execução guardada em campo estático, sem pool, e timeouts curtos no driver. Se a concorrência precisar crescer, a resposta é o RDS Proxy, não elevar o limite.</w:t>
      </w:r>
    </w:p>
    <w:p>
      <w:r>
        <w:br w:type="page"/>
      </w:r>
    </w:p>
    <w:p>
      <w:pPr>
        <w:pStyle w:val="Heading2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8"/>
        </w:rPr>
        <w:t>7. Observabilidade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7.1 A escolha da plataforma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enunciado permite Datadog ou New Relic, e as disciplinas cobrem as duas com profundidade equivalente. A escolha foi New Relic, por uma razão prática: o free tier é perpétuo, com cem gigabytes mensais de ingestão. O do Datadog é trial de catorze dias, o que obrigaria a cronometrar a janela para coincidir com a gravação do vídeo — risco desnecessário numa entrega com prazo.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7.2 Os cinco sinais exigidos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3118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Requisito</w:t>
            </w:r>
          </w:p>
        </w:tc>
        <w:tc>
          <w:tcPr>
            <w:tcW w:type="dxa" w:w="5953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Como é atendido</w:t>
            </w:r>
          </w:p>
        </w:tc>
      </w:tr>
      <w:tr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Latência das APIs</w:t>
            </w:r>
          </w:p>
        </w:tc>
        <w:tc>
          <w:tcPr>
            <w:tcW w:type="dxa" w:w="5953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Agente Java, transações do APM, percentis p95 e p99</w:t>
            </w:r>
          </w:p>
        </w:tc>
      </w:tr>
      <w:tr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CPU e memória do Kubernetes</w:t>
            </w:r>
          </w:p>
        </w:tc>
        <w:tc>
          <w:tcPr>
            <w:tcW w:type="dxa" w:w="5953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Integração Kubernetes por DaemonSet, filtrável por pod</w:t>
            </w:r>
          </w:p>
        </w:tc>
      </w:tr>
      <w:tr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Healthchecks e uptime</w:t>
            </w:r>
          </w:p>
        </w:tc>
        <w:tc>
          <w:tcPr>
            <w:tcW w:type="dxa" w:w="5953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Monitor sintético contra /actuator/health, 3 localizações</w:t>
            </w:r>
          </w:p>
        </w:tc>
      </w:tr>
      <w:tr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Alertas de falha em ordens</w:t>
            </w:r>
          </w:p>
        </w:tc>
        <w:tc>
          <w:tcPr>
            <w:tcW w:type="dxa" w:w="5953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Condição NRQL sobre métrica customizada de transição</w:t>
            </w:r>
          </w:p>
        </w:tc>
      </w:tr>
      <w:tr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Logs JSON com correlação</w:t>
            </w:r>
          </w:p>
        </w:tc>
        <w:tc>
          <w:tcPr>
            <w:tcW w:type="dxa" w:w="5953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Structured logging nativo do Spring Boot 3.4, formato ECS</w:t>
            </w:r>
          </w:p>
        </w:tc>
      </w:tr>
    </w:tbl>
    <w:p>
      <w:pPr>
        <w:spacing w:after="80"/>
      </w:pP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7.3 Logs estruturados e a armadilha da cobrança dupla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Spring Boot 3.4 traz structured logging nativo — não foi preciso adicionar biblioteca nem escrever configuração de logback. O formato ECS foi escolhido porque usa os nomes de campo trace.id e span.id, exatamente os que a plataforma procura para ligar uma linha de log ao trace distribuído correspondente.</w:t>
      </w:r>
    </w:p>
    <w:p>
      <w:pPr>
        <w:spacing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Um detalhe da Aula 08 evitou um erro caro: o encaminhamento de log pelo agente de APM foi </w:t>
      </w:r>
      <w:r>
        <w:rPr>
          <w:rFonts w:ascii="Times New Roman" w:hAnsi="Times New Roman"/>
          <w:b/>
          <w:i w:val="0"/>
          <w:sz w:val="24"/>
        </w:rPr>
        <w:t>desligado</w:t>
      </w:r>
      <w:r>
        <w:rPr>
          <w:rFonts w:ascii="Times New Roman" w:hAnsi="Times New Roman"/>
          <w:b w:val="0"/>
          <w:i w:val="0"/>
          <w:sz w:val="24"/>
        </w:rPr>
        <w:t>. Quem envia log é o Fluent Bit da integração Kubernetes. Manter os dois ligados envia cada linha duas vezes e, com free tier medido em gigabytes, queimaria a cota pela metade.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7.4 Os três dashboards de negócio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Nenhum dos três sai do agente. São métricas customizadas emitidas pela aplicação, instrumentadas nos casos de uso e não nos controllers: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835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Painel exigido</w:t>
            </w:r>
          </w:p>
        </w:tc>
        <w:tc>
          <w:tcPr>
            <w:tcW w:type="dxa" w:w="3402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Métrica</w:t>
            </w:r>
          </w:p>
        </w:tc>
        <w:tc>
          <w:tcPr>
            <w:tcW w:type="dxa" w:w="2835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Tags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Volume diário de ordens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oficina.os.abertas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origem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Tempo médio por status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oficina.os.duracao_status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status_origem, status_destino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Erros de integração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oficina.integracao.falhas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integracao, motivo</w:t>
            </w:r>
          </w:p>
        </w:tc>
      </w:tr>
    </w:tbl>
    <w:p>
      <w:pPr>
        <w:spacing w:after="80"/>
      </w:pP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Um dashboard técnico complementar acompanha latência por percentil, taxa de erro separada entre 4xx e 5xx, recursos por pod, réplicas ativas do HPA e o Apdex. As consultas usam variável de template para que o mesmo painel sirva homologação e produção sem duplicação.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7.5 Alertas com runbook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Seis condições de alerta, criadas por Terraform e não pelo console — como recomenda a Aula 10, isso evita alteração não documentada e transforma o próprio código em documentação. A nomenclatura segue o padrão ensinado, em que o nome já entrega conta, ambiente, recurso e sintoma:</w:t>
      </w:r>
    </w:p>
    <w:p>
      <w:pPr>
        <w:spacing w:before="80" w:after="160" w:line="240" w:lineRule="auto"/>
        <w:ind w:left="567"/>
        <w:shd w:val="clear" w:fill="F3F4F6"/>
      </w:pPr>
      <w:r>
        <w:rPr>
          <w:rFonts w:ascii="Consolas" w:hAnsi="Consolas"/>
          <w:b w:val="0"/>
          <w:i w:val="0"/>
          <w:color w:val="555555"/>
          <w:sz w:val="19"/>
        </w:rPr>
        <w:t>AWS-OficinaAPI-Prod-OS-FalhaTransicao-Critical</w:t>
        <w:br/>
        <w:t>AWS-OficinaAPI-Prod-API-LatenciaP95-Warning</w:t>
        <w:br/>
        <w:t>AWS-OficinaAPI-Prod-API-TaxaErro5xx-Critical</w:t>
        <w:br/>
        <w:t>AWS-OficinaAPI-Prod-K8s-MemoriaPod-Warning</w:t>
        <w:br/>
        <w:t>AWS-OficinaAPI-Prod-Integracao-Falhas-Warning</w:t>
        <w:br/>
        <w:t>AWS-OficinaAPI-Prod-Health-Uptime-Critical</w:t>
      </w:r>
    </w:p>
    <w:p>
      <w:pPr>
        <w:spacing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Cada alerta carrega link para um runbook que </w:t>
      </w:r>
      <w:r>
        <w:rPr>
          <w:rFonts w:ascii="Times New Roman" w:hAnsi="Times New Roman"/>
          <w:b/>
          <w:i w:val="0"/>
          <w:sz w:val="24"/>
        </w:rPr>
        <w:t>existe</w:t>
      </w:r>
      <w:r>
        <w:rPr>
          <w:rFonts w:ascii="Times New Roman" w:hAnsi="Times New Roman"/>
          <w:b w:val="0"/>
          <w:i w:val="0"/>
          <w:sz w:val="24"/>
        </w:rPr>
        <w:t>. A Aula 05 é categórica que alerta sem ação clara associada não é útil, e a pergunta-teste é o que se espera que alguém faça com aquela informação. Os seis runbooks estão em docs/runbooks e respondem, cada um, o que o alerta significa, o impacto, o diagnóstico com comandos, a mitigação e quando escalar.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Nenhuma janela de avaliação é menor que cinco minutos, para evitar disparo por flutuação momentânea — outra recomendação direta da disciplina.</w:t>
      </w:r>
    </w:p>
    <w:p>
      <w:r>
        <w:br w:type="page"/>
      </w:r>
    </w:p>
    <w:p>
      <w:pPr>
        <w:pStyle w:val="Heading2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8"/>
        </w:rPr>
        <w:t>8. Documentação Arquitetural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Toda a documentação vive versionada em docs/tech-challenge-3, junto do código, e não em ferramenta externa.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4535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Artefato</w:t>
            </w:r>
          </w:p>
        </w:tc>
        <w:tc>
          <w:tcPr>
            <w:tcW w:type="dxa" w:w="1417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Quantidade</w:t>
            </w:r>
          </w:p>
        </w:tc>
        <w:tc>
          <w:tcPr>
            <w:tcW w:type="dxa" w:w="3118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Onde</w:t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RFCs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docs/tech-challenge-3/rfcs/</w:t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ADRs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11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docs/tech-challenge-3/adrs/</w:t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Diagramas C4 (contexto, contêineres, componentes)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docs/tech-challenge-3/diagramas/</w:t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Diagramas de sequência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docs/tech-challenge-3/diagramas/</w:t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Diagrama ER com explicação dos relacionamentos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docs/tech-challenge-3/diagramas/</w:t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Runbooks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6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docs/runbooks/</w:t>
            </w:r>
          </w:p>
        </w:tc>
      </w:tr>
    </w:tbl>
    <w:p>
      <w:pPr>
        <w:spacing w:after="80"/>
      </w:pP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8.1 RFC e ADR — a distinção adotada</w:t>
      </w:r>
    </w:p>
    <w:p>
      <w:pPr>
        <w:spacing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Uma observação honesta sobre o material: </w:t>
      </w:r>
      <w:r>
        <w:rPr>
          <w:rFonts w:ascii="Times New Roman" w:hAnsi="Times New Roman"/>
          <w:b/>
          <w:i w:val="0"/>
          <w:sz w:val="24"/>
        </w:rPr>
        <w:t>nenhuma aula da fase cobre RFC</w:t>
      </w:r>
      <w:r>
        <w:rPr>
          <w:rFonts w:ascii="Times New Roman" w:hAnsi="Times New Roman"/>
          <w:b w:val="0"/>
          <w:i w:val="0"/>
          <w:sz w:val="24"/>
        </w:rPr>
        <w:t>. A disciplina de Documentação de Arquitetura de Soluções cobre ADR, DAS, HLD, LLD, C4 e requisitos funcionais e não funcionais. O enunciado, porém, exige RFCs.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Tratamos como extensão consciente, adotando a convenção usual e documentando-a: a RFC vem antes da decisão e coleta comentários; a ADR vem depois e é imutável. A RFC preserva a discussão, incluindo os comentários dos revisores e sua resolução; a ADR preserva a conclusão. As três RFCs cobrem exatamente o que o enunciado nomeia — escolha da nuvem, do banco e da estratégia de autenticação.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8.2 O ciclo de vida das ADRs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Seguimos o processo da Aula 05: a ADR nasce em Proposta, passa por revisão, e ao ser aceita torna-se imutável. Mudança de rumo exige nova ADR, que ao ser aceita marca a anterior como Superada. A imutabilidade é o ponto que mais se erra na prática — ADR aceita não se edita, se supera, porque o histórico é o valor.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Uma das onze é retroativa: a ADR-011 documenta o uso de HPA, implementado na Fase 2 sem registro. O enunciado cita HPA como exemplo de decisão que merece ADR, e escrevê-la revelou um desencontro real — o HPA pedia até quatro réplicas enquanto o node group estava limitado a três nós. Corrigido nesta fase.</w:t>
      </w:r>
    </w:p>
    <w:p>
      <w:r>
        <w:br w:type="page"/>
      </w:r>
    </w:p>
    <w:p>
      <w:pPr>
        <w:pStyle w:val="Heading2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8"/>
        </w:rPr>
        <w:t>9. Qualidade de Software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835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Prática</w:t>
            </w:r>
          </w:p>
        </w:tc>
        <w:tc>
          <w:tcPr>
            <w:tcW w:type="dxa" w:w="3402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Ferramenta</w:t>
            </w:r>
          </w:p>
        </w:tc>
        <w:tc>
          <w:tcPr>
            <w:tcW w:type="dxa" w:w="2835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Onde roda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Testes unitários e de integração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JUnit 5, AssertJ, Mockito, Testcontainers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mvn verify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Cobertura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JaCoCo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Pipeline, artefato publicado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Análise estática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SonarCloud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Pipeline, a cada push e PR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Vulnerabilidades em dependências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OWASP Dependency-Check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Pipeline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Formatação de infraestrutura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terraform fmt -check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Pipeline dos repos de infra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Validação de template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sam validate --lint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Pipeline da Lambda</w:t>
            </w:r>
          </w:p>
        </w:tc>
      </w:tr>
    </w:tbl>
    <w:p>
      <w:pPr>
        <w:spacing w:after="80"/>
      </w:pP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aplicação encerra a fase com cento e vinte e um testes passando, incluindo o teste de integração completo com Testcontainers, que exercita as migrations V6 e V7 contra um PostgreSQL real. A Lambda tem trinta e cinco testes próprios.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9.1 O teste que impede a duplicação de virar divergência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validação de CPF existe em dois lugares: no value object do domínio da aplicação e na Lambda. A separação em repositórios cortou o acesso ao código compartilhado, e publicar um artefato comum exigiria montar um pipeline de publicação.</w:t>
      </w:r>
    </w:p>
    <w:p>
      <w:pPr>
        <w:spacing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A contenção foi explícita: o teste da Lambda </w:t>
      </w:r>
      <w:r>
        <w:rPr>
          <w:rFonts w:ascii="Times New Roman" w:hAnsi="Times New Roman"/>
          <w:b/>
          <w:i w:val="0"/>
          <w:sz w:val="24"/>
        </w:rPr>
        <w:t>espelha exatamente</w:t>
      </w:r>
      <w:r>
        <w:rPr>
          <w:rFonts w:ascii="Times New Roman" w:hAnsi="Times New Roman"/>
          <w:b w:val="0"/>
          <w:i w:val="0"/>
          <w:sz w:val="24"/>
        </w:rPr>
        <w:t xml:space="preserve"> os casos-limite do teste da aplicação — CPF com máscara e sem, dígito verificador inválido, todos os dígitos iguais, tamanho errado. Enquanto a regra estiver duplicada, é esse espelho que impede os dois validadores de divergirem em silêncio. O débito está declarado.</w:t>
      </w:r>
    </w:p>
    <w:p>
      <w:r>
        <w:br w:type="page"/>
      </w:r>
    </w:p>
    <w:p>
      <w:pPr>
        <w:pStyle w:val="Heading2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8"/>
        </w:rPr>
        <w:t>10. Segurança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10.1 Postura adotada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/>
          <w:i w:val="0"/>
          <w:sz w:val="24"/>
        </w:rPr>
        <w:t xml:space="preserve">Rede fechada — </w:t>
      </w:r>
      <w:r>
        <w:rPr>
          <w:rFonts w:ascii="Times New Roman" w:hAnsi="Times New Roman"/>
          <w:b w:val="0"/>
          <w:i w:val="0"/>
          <w:sz w:val="24"/>
        </w:rPr>
        <w:t>nenhum nó ou banco tem IP público; a única entrada é o API Gateway e a única saída é a NAT instance.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/>
          <w:i w:val="0"/>
          <w:sz w:val="24"/>
        </w:rPr>
        <w:t xml:space="preserve">Rejeição na borda — </w:t>
      </w:r>
      <w:r>
        <w:rPr>
          <w:rFonts w:ascii="Times New Roman" w:hAnsi="Times New Roman"/>
          <w:b w:val="0"/>
          <w:i w:val="0"/>
          <w:sz w:val="24"/>
        </w:rPr>
        <w:t>requisição sem token válido é rejeitada no gateway, antes de consumir recurso do cluster.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/>
          <w:i w:val="0"/>
          <w:sz w:val="24"/>
        </w:rPr>
        <w:t xml:space="preserve">Defesa em profundidade — </w:t>
      </w:r>
      <w:r>
        <w:rPr>
          <w:rFonts w:ascii="Times New Roman" w:hAnsi="Times New Roman"/>
          <w:b w:val="0"/>
          <w:i w:val="0"/>
          <w:sz w:val="24"/>
        </w:rPr>
        <w:t>o gateway autentica, e a aplicação valida de novo. Quem decide se este cliente pode ver esta ordem continua sendo a aplicação.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/>
          <w:i w:val="0"/>
          <w:sz w:val="24"/>
        </w:rPr>
        <w:t xml:space="preserve">Segredos centralizados — </w:t>
      </w:r>
      <w:r>
        <w:rPr>
          <w:rFonts w:ascii="Times New Roman" w:hAnsi="Times New Roman"/>
          <w:b w:val="0"/>
          <w:i w:val="0"/>
          <w:sz w:val="24"/>
        </w:rPr>
        <w:t>segredo do JWT e credenciais do banco em SSM Parameter Store como SecureString, nunca em arquivo versionado.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/>
          <w:i w:val="0"/>
          <w:sz w:val="24"/>
        </w:rPr>
        <w:t xml:space="preserve">Sem credencial estática — </w:t>
      </w:r>
      <w:r>
        <w:rPr>
          <w:rFonts w:ascii="Times New Roman" w:hAnsi="Times New Roman"/>
          <w:b w:val="0"/>
          <w:i w:val="0"/>
          <w:sz w:val="24"/>
        </w:rPr>
        <w:t>OIDC nos quatro repositórios; nenhuma chave de acesso de longa duração em secret.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/>
          <w:i w:val="0"/>
          <w:sz w:val="24"/>
        </w:rPr>
        <w:t xml:space="preserve">CPF nunca em log — </w:t>
      </w:r>
      <w:r>
        <w:rPr>
          <w:rFonts w:ascii="Times New Roman" w:hAnsi="Times New Roman"/>
          <w:b w:val="0"/>
          <w:i w:val="0"/>
          <w:sz w:val="24"/>
        </w:rPr>
        <w:t>apenas os três últimos dígitos aparecem em log, e o subject do token é o UUID.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10.2 A limitação que precisa ser dita</w:t>
      </w:r>
    </w:p>
    <w:p>
      <w:pPr>
        <w:spacing w:after="120"/>
        <w:ind w:firstLine="709"/>
        <w:jc w:val="both"/>
      </w:pPr>
      <w:r>
        <w:rPr>
          <w:rFonts w:ascii="Times New Roman" w:hAnsi="Times New Roman"/>
          <w:b/>
          <w:i w:val="0"/>
          <w:sz w:val="24"/>
        </w:rPr>
        <w:t xml:space="preserve">Autenticar apenas por CPF é fraco. </w:t>
      </w:r>
      <w:r>
        <w:rPr>
          <w:rFonts w:ascii="Times New Roman" w:hAnsi="Times New Roman"/>
          <w:b w:val="0"/>
          <w:i w:val="0"/>
          <w:sz w:val="24"/>
        </w:rPr>
        <w:t>CPF é identificador público, não segredo: quem souber o CPF de um cliente obtém um token válido em nome dele.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É exatamente o que o enunciado especifica, e foi implementado como especificado. Mas entregar isso calados seria pior do que entregar com a ressalva. Uma versão produtiva exigiria segundo fator — e o serviço de notificação por e-mail já existe no sistema, o que tornaria um código de uso único barato de implementar.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As mitigações que couberam no escopo, sem alterar o fator de autenticação: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3685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Mitigação</w:t>
            </w:r>
          </w:p>
        </w:tc>
        <w:tc>
          <w:tcPr>
            <w:tcW w:type="dxa" w:w="5386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O que impede</w:t>
            </w:r>
          </w:p>
        </w:tc>
      </w:tr>
      <w:tr>
        <w:tc>
          <w:tcPr>
            <w:tcW w:type="dxa" w:w="368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404 e 403 com corpo idêntico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Enumeração de CPFs válidos pela resposta</w:t>
            </w:r>
          </w:p>
        </w:tc>
      </w:tr>
      <w:tr>
        <w:tc>
          <w:tcPr>
            <w:tcW w:type="dxa" w:w="368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Throttle de 10 req/s na rota /auth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Varredura em volume</w:t>
            </w:r>
          </w:p>
        </w:tc>
      </w:tr>
      <w:tr>
        <w:tc>
          <w:tcPr>
            <w:tcW w:type="dxa" w:w="368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Token de 15 minutos, sem refresh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Janela de uso de um token vazado</w:t>
            </w:r>
          </w:p>
        </w:tc>
      </w:tr>
      <w:tr>
        <w:tc>
          <w:tcPr>
            <w:tcW w:type="dxa" w:w="368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CPF fora do log e do subject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Vazamento por telemetria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8"/>
        </w:rPr>
        <w:t>11. Débitos Técnicos da Fase 3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registro completo, com situação atual, causa raiz, melhoria planejada, justificativa de escopo e impacto de cada item, está versionado em docs/tech-challenge-3/debitos-tecnicos.md. O resumo: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020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ID</w:t>
            </w:r>
          </w:p>
        </w:tc>
        <w:tc>
          <w:tcPr>
            <w:tcW w:type="dxa" w:w="5216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Débito</w:t>
            </w:r>
          </w:p>
        </w:tc>
        <w:tc>
          <w:tcPr>
            <w:tcW w:type="dxa" w:w="1417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Prioridade</w:t>
            </w:r>
          </w:p>
        </w:tc>
        <w:tc>
          <w:tcPr>
            <w:tcW w:type="dxa" w:w="1417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Risco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DT-01</w:t>
            </w:r>
          </w:p>
        </w:tc>
        <w:tc>
          <w:tcPr>
            <w:tcW w:type="dxa" w:w="521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E-mail de orçamento sem detalhamento de itens (herdado da Fase 2)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Baixa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Baixo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DT-02</w:t>
            </w:r>
          </w:p>
        </w:tc>
        <w:tc>
          <w:tcPr>
            <w:tcW w:type="dxa" w:w="521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Segredo JWT simétrico compartilhado entre três componentes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Médio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DT-03</w:t>
            </w:r>
          </w:p>
        </w:tc>
        <w:tc>
          <w:tcPr>
            <w:tcW w:type="dxa" w:w="521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Revogação de token não é imediata (cache de 300 s)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Baixa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Baixo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DT-04</w:t>
            </w:r>
          </w:p>
        </w:tc>
        <w:tc>
          <w:tcPr>
            <w:tcW w:type="dxa" w:w="521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NAT instance é ponto único de falha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Baixo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DT-05</w:t>
            </w:r>
          </w:p>
        </w:tc>
        <w:tc>
          <w:tcPr>
            <w:tcW w:type="dxa" w:w="521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Homologação e produção compartilham cluster e banco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Médio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DT-06</w:t>
            </w:r>
          </w:p>
        </w:tc>
        <w:tc>
          <w:tcPr>
            <w:tcW w:type="dxa" w:w="521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Autenticação por CPF sem segundo fator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Alto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DT-07</w:t>
            </w:r>
          </w:p>
        </w:tc>
        <w:tc>
          <w:tcPr>
            <w:tcW w:type="dxa" w:w="521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Tabela refresh_tokens órfã no schema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Baixa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Nenhum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DT-08</w:t>
            </w:r>
          </w:p>
        </w:tc>
        <w:tc>
          <w:tcPr>
            <w:tcW w:type="dxa" w:w="521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Validação de CPF duplicada entre repositórios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Médio</w:t>
            </w:r>
          </w:p>
        </w:tc>
      </w:tr>
    </w:tbl>
    <w:p>
      <w:pPr>
        <w:spacing w:after="80"/>
      </w:pP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Declarar o débito é decisão consciente, não descuido. Cada item acima foi avaliado, teve o custo da correção pesado contra o ganho, e ficou registrado com a melhoria planejada. Débito documentado é dívida com juros conhecidos; débito escondido é surpresa em produção.</w:t>
      </w:r>
    </w:p>
    <w:p>
      <w:r>
        <w:br w:type="page"/>
      </w:r>
    </w:p>
    <w:p>
      <w:pPr>
        <w:pStyle w:val="Heading2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8"/>
        </w:rPr>
        <w:t>12. Conclusão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Fase 3 pediu para elevar o sistema a nível de operação corporativa, e o eixo comum dos requisitos é a passagem de funciona para opera. Nenhuma regra de negócio nova foi adicionada; o que mudou foi a capacidade de operar o sistema com segurança e visibilidade.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autenticação saiu da aplicação e virou função serverless atrás de um gateway, o que deu ao sistema um único emissor de identidade e uma borda real. A rede fechou: nós e banco perderam o IP público, e a escolha de como dar saída de internet foi tomada com a conta na mesa, não por intuição — o caminho aparentemente mais barato era o mais caro. O monorepo virou quatro repositórios com esteiras próprias, acopladas por um único contrato.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E o sistema passou a ser observável de verdade: não apenas gráficos de infraestrutura, mas métricas que respondem perguntas de negócio, logs que abrem o trace da requisição com um clique, e alertas que apontam para um procedimento em vez de para um painel.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arquitetura em Clean Architecture, estabelecida na Fase 1 e refinada na Fase 2, sustentou a mudança: trocar o emissor do token e adicionar métricas de negócio não exigiu tocar em regra de domínio. As alterações concentraram-se na camada de infraestrutura, que é exatamente onde deveriam estar.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Encerramos a fase com oito débitos técnicos declarados. Não é sinal de trabalho incompleto, e sim do contrário: cada um foi identificado, avaliado e registrado com a melhoria planejada e a justificativa do adiamento. O que mais preocupa está dito com todas as letras — autenticar apenas por CPF é fraco, e o sistema entrega isso porque foi o que se pediu, com as mitigações que couberam e a ressalva registrada.</w:t>
      </w:r>
    </w:p>
    <w:p>
      <w:r>
        <w:br w:type="page"/>
      </w:r>
    </w:p>
    <w:p>
      <w:pPr>
        <w:pStyle w:val="Heading2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8"/>
        </w:rPr>
        <w:t>13. Referências Bibliográficas</w:t>
      </w:r>
    </w:p>
    <w:p>
      <w:pPr>
        <w:spacing w:after="160" w:line="240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AMAZON WEB SERVICES. ADR Process — Prescriptive Guidance. 2022. Disponível em: https://docs.aws.amazon.com/prescriptive-guidance/latest/architectural-decision-records/. Acesso em: 4 set. 2026.</w:t>
      </w:r>
    </w:p>
    <w:p>
      <w:pPr>
        <w:spacing w:after="160" w:line="240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AMAZON WEB SERVICES. Criação de uma API HTTP com uma integração privada a um serviço do Amazon ECS. Disponível em: https://docs.aws.amazon.com/pt_br/apigateway/latest/developerguide/http-api-private-integration.html. Acesso em: 4 set. 2026.</w:t>
      </w:r>
    </w:p>
    <w:p>
      <w:pPr>
        <w:spacing w:after="160" w:line="240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AMAZON WEB SERVICES. What is AWS Lambda? Disponível em: https://docs.aws.amazon.com/lambda/latest/dg/welcome.html. Acesso em: 4 set. 2026.</w:t>
      </w:r>
    </w:p>
    <w:p>
      <w:pPr>
        <w:spacing w:after="160" w:line="240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BASS, L.; CLEMENTS, P.; KAZMAN, R. Software Architecture in Practice. 3. ed. Boston: Addison-Wesley Professional, 2012.</w:t>
      </w:r>
    </w:p>
    <w:p>
      <w:pPr>
        <w:spacing w:after="160" w:line="240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BROWN, S. The C4 model for visualizing software architecture. Disponível em: https://c4model.com/. Acesso em: 4 set. 2026.</w:t>
      </w:r>
    </w:p>
    <w:p>
      <w:pPr>
        <w:spacing w:after="160" w:line="240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GOOGLE. Site Reliability Engineering. Disponível em: https://sre.google/. Acesso em: 4 set. 2026.</w:t>
      </w:r>
    </w:p>
    <w:p>
      <w:pPr>
        <w:spacing w:after="160" w:line="240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MARTIN, R. C. Arquitetura Limpa: o guia do artesão para estrutura e design de software. Rio de Janeiro: Alta Books, 2019.</w:t>
      </w:r>
    </w:p>
    <w:p>
      <w:pPr>
        <w:spacing w:after="160" w:line="240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NEW RELIC. Apdex: meça a satisfação do usuário. Disponível em: https://docs.newrelic.com/pt/docs/apm/new-relic-apm/apdex/apdex-measure-user-satisfaction/. Acesso em: 4 set. 2026.</w:t>
      </w:r>
    </w:p>
    <w:p>
      <w:pPr>
        <w:spacing w:after="160" w:line="240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NEW RELIC. Logs contextualizados APM. Disponível em: https://docs.newrelic.com/pt/docs/logs/logs-context/get-started-logs-context/. Acesso em: 4 set. 2026.</w:t>
      </w:r>
    </w:p>
    <w:p>
      <w:pPr>
        <w:spacing w:after="160" w:line="240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NEW RELIC. NRQL reference. Disponível em: https://docs.newrelic.com/docs/query-your-data/nrql-new-relic-query-language/. Acesso em: 4 set. 2026.</w:t>
      </w:r>
    </w:p>
    <w:p>
      <w:pPr>
        <w:spacing w:after="160" w:line="240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NYGARD, M. Documenting Architecture Decisions. 2011. Disponível em: https://cognitect.com/blog/2011/11/15/documenting-architecture-decisions. Acesso em: 4 set. 2026.</w:t>
      </w:r>
    </w:p>
    <w:p>
      <w:pPr>
        <w:spacing w:after="160" w:line="240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RICHARDS, M.; FORD, N. Fundamentos da Arquitetura de Software: uma abordagem para engenharia de software. Porto Alegre: Bookman, 2020.</w:t>
      </w:r>
    </w:p>
    <w:p>
      <w:pPr>
        <w:spacing w:after="160" w:line="240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VMWARE. Spring Boot Reference — Structured Logging. Disponível em: https://docs.spring.io/spring-boot/reference/features/logging.html. Acesso em: 4 set. 2026.</w:t>
      </w:r>
    </w:p>
    <w:p>
      <w:pPr>
        <w:spacing w:after="160" w:line="240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FIAP. Material das disciplinas da Fase 3 — Monitoramento e Acesso; Monitoramento e Acesso Avançado; API Gateway; Desenvolvimento Serverless; Documentação de Arquitetura de Soluções. PosTech Arquitetura de Software, 2026.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