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PosTech FIAP — Pós-Graduação em Arquitetura de Software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Turma SOAT — Fase 2</w:t>
      </w:r>
    </w:p>
    <w:p w:rsidR="00000000" w:rsidDel="00000000" w:rsidP="00000000" w:rsidRDefault="00000000" w:rsidRPr="00000000" w14:paraId="00000002">
      <w:pPr>
        <w:spacing w:after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SISTEMA INTEGRADO DE ATENDIMENTO E EXECUÇÃO DE SERVIÇOS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Challenge — Fase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lineRule="auto"/>
        <w:jc w:val="both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Participantes: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Danilo Canato — RM 372411 — Discord: @canatodanilo</w:t>
        <w:br w:type="textWrapping"/>
        <w:t xml:space="preserve">Guilherme Fumagali Marques — RM 372421 — Discord: @gfumagali</w:t>
      </w:r>
    </w:p>
    <w:p w:rsidR="00000000" w:rsidDel="00000000" w:rsidP="00000000" w:rsidRDefault="00000000" w:rsidRPr="00000000" w14:paraId="0000000A">
      <w:pPr>
        <w:spacing w:after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São Paulo, julho de 2026</w:t>
      </w:r>
    </w:p>
    <w:p w:rsidR="00000000" w:rsidDel="00000000" w:rsidP="00000000" w:rsidRDefault="00000000" w:rsidRPr="00000000" w14:paraId="0000000C">
      <w:pPr>
        <w:spacing w:after="320" w:before="32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Referências de Entrega</w:t>
      </w:r>
    </w:p>
    <w:tbl>
      <w:tblPr>
        <w:tblStyle w:val="Table1"/>
        <w:tblW w:w="8488.0" w:type="dxa"/>
        <w:jc w:val="left"/>
        <w:tblLayout w:type="fixed"/>
        <w:tblLook w:val="0400"/>
      </w:tblPr>
      <w:tblGrid>
        <w:gridCol w:w="3101"/>
        <w:gridCol w:w="5387"/>
        <w:tblGridChange w:id="0">
          <w:tblGrid>
            <w:gridCol w:w="3101"/>
            <w:gridCol w:w="538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Link / Local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Repositório GitHub (compartilhado com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soat-architecture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https://github.com/Guilherme-Fumagali/tech-challenge-1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Vídeo de demonstração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https://www.youtube.com/watch?v=YAcKYwIONi8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Collection das APIs (Swagger UI)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http://localhost:8080/swagger-ui.html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Desenho da arquitetura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https://github.com/Guilherme-Fumagali/tech-challenge-1/blob/main/docs/tech-challenge-2/arquitetura.png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Manifests Kubernetes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k8s/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Scripts Terraform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infra/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(+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infra/README.md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com recursos criados e como aplicar)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Pipelines CI/CD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.github/workflows/ci-cd.yml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terraform.yml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destroy-aws.yml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Documentação DDD (incl. Domain Storytelling)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docs/ddd/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1. Introdução e Contexto do Problema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implantação do MVP da Fase 1, a oficina mecânica ganhou eficiência no atendimento — mas o crescimento da demanda e a expansão para novas unidades expuseram os limites de uma aplicação executada em um único contêiner: indisponibilidade em picos, deploy manual e nenhuma elasticidade.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Tech Challenge Fase 2 propõe evoluir essa aplicação em duas frentes. Na frente de negócio, completar os fluxos que ficaram em aberto no MVP: a listagem operacional de Ordens de Serviço priorizada por status, a exclusão lógica de OS encerradas e a aprovação de orçamento pelo próprio cliente, sem login, a partir de uma notificação real por e-mail. Na frente de infraestrutura, tornar o sistema escalável e reprodutível: orquestração com Kubernetes, provisionamento com Terraform (local e AWS) e pipeline de CI/CD que leva um push na branch principal até o cluster com aprovação humana nos pontos que geram custo.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descreve as funcionalidades adicionadas, as decisões de arquitetura de infraestrutura e as garantias de qualidade mantidas da Fase 1 — incluindo a quitação dos débitos técnicos registrados no documento anterior.</w:t>
      </w:r>
    </w:p>
    <w:p w:rsidR="00000000" w:rsidDel="00000000" w:rsidP="00000000" w:rsidRDefault="00000000" w:rsidRPr="00000000" w14:paraId="00000024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2. Evolução da Aplicação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base arquitetural da Fase 1 (Clean Architecture com domínio livre de framework) foi preservada: toda funcionalidade nova nasceu como regra de domínio testada em isolamento, orquestrada por use case e exposta por adapter — nenhuma exceção.</w:t>
      </w:r>
    </w:p>
    <w:p w:rsidR="00000000" w:rsidDel="00000000" w:rsidP="00000000" w:rsidRDefault="00000000" w:rsidRPr="00000000" w14:paraId="00000026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 Listagem de OS ordenada por prioridade de negócio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requisito define uma ordem de atendimento que não é cronológica nem alfabética:</w:t>
      </w:r>
    </w:p>
    <w:p w:rsidR="00000000" w:rsidDel="00000000" w:rsidP="00000000" w:rsidRDefault="00000000" w:rsidRPr="00000000" w14:paraId="00000028">
      <w:pPr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Em Execução &gt; Aguardando Aprovação &gt; Em Diagnóstico &gt; Recebida — e, dentro do mesmo status, as mais antigas primeiro.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ordenação é resolvida no banco, não em memória Java, via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JPQL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OrdemServicoJpaRepository.findAtivasOrdenadasPorPrioridade()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ORDER BY CASE os.status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WHEN 'EM_EXECUCAO'          THEN 0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WHEN 'AGUARDANDO_APROVACAO' THEN 1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WHEN 'EM_DIAGNOSTICO'       THEN 2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WHEN 'RECEBIDA'             THEN 3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ELSE 4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END, os.dataAbertura ASC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Dentro do mesmo status, o desempate é pela data de aprovação — quem foi aprovado há mais tempo vai na frente — e, para OS ainda não aprovadas, pela data de abertura. Resolver no banco evita carregar a tabela inteira para ordenar na aplicação — decisão alinhada ao objetivo da fase (grandes volumes de OS em horário de pico). Saída da listagem operacional. OS Finalizada e Entregue saem da fila por filtro de status (status NOT IN (FINALIZADA, ENTREGUE)), não por exclusão: elas concluíram o fluxo e permanecem no banco, íntegras — o requisito veda exclusão física, e o histórico alimenta o relatório de tempo médio. Finalizar não é excluir, então concluir() apenas troca o status e grava dataConclusao; não mexe em flag de exclusão. Exclusão lógica. A flag excluidaLogicamente (com dataExclusaoLogica) é um mecanismo separado, reservado para remoção real de uma OS sem exclusão física: o registro fica no banco para auditoria e só some da listagem. A mesma query respeita essa flag (excluidaLogicamente = false). Hoje não existe endpoint de DELETE para OS — a flag existe para esse propósito, desacoplada do encerramento do fluxo operacional.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88.0" w:type="dxa"/>
        <w:jc w:val="left"/>
        <w:tblLayout w:type="fixed"/>
        <w:tblLook w:val="0400"/>
      </w:tblPr>
      <w:tblGrid>
        <w:gridCol w:w="2689"/>
        <w:gridCol w:w="5799"/>
        <w:tblGridChange w:id="0">
          <w:tblGrid>
            <w:gridCol w:w="2689"/>
            <w:gridCol w:w="57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Comportamento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 /api/ordens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Lista ativas, ordenadas por prioridade + antiguidade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 /api/ordens/{id}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OS individual continua acessível mesmo após exclusão lógica</w:t>
            </w:r>
          </w:p>
        </w:tc>
      </w:tr>
    </w:tbl>
    <w:p w:rsidR="00000000" w:rsidDel="00000000" w:rsidP="00000000" w:rsidRDefault="00000000" w:rsidRPr="00000000" w14:paraId="00000039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2.2 Aprovação externa de orçamento via token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requisito pede um endpoint que receba notificações externas de aprovação ou recusa do orçamento. A solução implementada vai além de um webhook aberto: cada orçamento gerado emite um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token de uso único por 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que autoriza exatamente uma decisão — aprovar ou reprovar — sem exigir cadastro ou login do cliente.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Propriedades do token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domain/valueobject/TokenAprovacaoExterna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</w:p>
    <w:tbl>
      <w:tblPr>
        <w:tblStyle w:val="Table3"/>
        <w:tblW w:w="8475.0" w:type="dxa"/>
        <w:jc w:val="left"/>
        <w:tblLayout w:type="fixed"/>
        <w:tblLook w:val="0400"/>
      </w:tblPr>
      <w:tblGrid>
        <w:gridCol w:w="2025"/>
        <w:gridCol w:w="6450"/>
        <w:tblGridChange w:id="0">
          <w:tblGrid>
            <w:gridCol w:w="2025"/>
            <w:gridCol w:w="64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Propriedade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Implementação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Imprevisibilidade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32 bytes de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SecureRandom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codificados em Base64 URL-safe (43 caracteres)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Escopo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Um token por OS, gerado em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gerarOrcamento()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não existe token global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Expiração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7 dias (configurável por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Duration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); comparação em UTC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Uso único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Qualquer decisão (aprovar ou reprovar) invalida o token imediatamente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Validação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 agregado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OrdemServico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, não no controller — a regra vale para qualquer adapter</w:t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Endpoints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(públicos por decisão de negócio — a posse do token é a credencial):</w:t>
      </w:r>
    </w:p>
    <w:tbl>
      <w:tblPr>
        <w:tblStyle w:val="Table4"/>
        <w:tblW w:w="8488.0" w:type="dxa"/>
        <w:jc w:val="left"/>
        <w:tblLayout w:type="fixed"/>
        <w:tblLook w:val="0400"/>
      </w:tblPr>
      <w:tblGrid>
        <w:gridCol w:w="961"/>
        <w:gridCol w:w="4020"/>
        <w:gridCol w:w="3507"/>
        <w:tblGridChange w:id="0">
          <w:tblGrid>
            <w:gridCol w:w="961"/>
            <w:gridCol w:w="4020"/>
            <w:gridCol w:w="350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Método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Consumidor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/api/ordens/{id}/aprovar-externo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Integrações (corpo JSON com token e decisão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APROVAR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REPROVAR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/api/ordens/{id}/aprovar-externo?token=...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Botão "Aprovar" do e-mail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/api/ordens/{id}/reprovar-externo?token=...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Botão "Reprovar" do e-mail</w:t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endpoints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existem por uma restrição do mundo real: um link de e-mail só consegue fazer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É o mesmo padrão consolidado de links de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unsubscribe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um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 efeito colateral, mitigado pelo token de uso único (um segundo clique, inclusive o prefetch de algum cliente de e-mail, encontra o token já invalidado e recebe uma página de erro amigável, sem efeito). Os endpoints devolvem páginas HTML de confirmação renderizadas pelo próprio backend, para que o cliente saiba o resultado da ação sem depender de front-end.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400675" cy="5080873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266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80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color w:val="b45309"/>
        </w:rPr>
      </w:pPr>
      <w:r w:rsidDel="00000000" w:rsidR="00000000" w:rsidRPr="00000000">
        <w:rPr>
          <w:b w:val="1"/>
          <w:bCs w:val="1"/>
          <w:color w:val="b45309"/>
        </w:rPr>
        <w:drawing>
          <wp:inline distB="114300" distT="114300" distL="114300" distR="114300">
            <wp:extent cx="5399730" cy="203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color w:val="b4530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reprovação externa reaproveita o mesmo caminho de domínio da reprovação interna: OS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Cancelada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estorno de estoque na mesma transação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exatamente como na Fase 1. A validação do token acontece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 estorno — requisição com token inválido não toca o estoque.</w:t>
      </w:r>
    </w:p>
    <w:p w:rsidR="00000000" w:rsidDel="00000000" w:rsidP="00000000" w:rsidRDefault="00000000" w:rsidRPr="00000000" w14:paraId="0000005A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2.3 Notificação por e-mail real (SMTP)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Hot Spot PA2 da Fase 1 ("como notificar o cliente?") foi resolvido: o canal concreto é e-mail. O ACL desenhado na Fase 1 absorveu a mudança sem alterar nenhum use case — o que confirma que a fronteira estava no lugar certo: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application/port/NotificacaoService.java                   ← porta (inalterada desde a Fase 1)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infrastructure/notification/LogNotificacaoService.java     ← stub    (canal=log, default)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60" w:before="160" w:line="240" w:lineRule="auto"/>
        <w:ind w:left="480" w:right="480" w:firstLine="0"/>
        <w:jc w:val="both"/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infrastructure/notification/SmtpNotificacaoService.java    ← novo    (canal=smtp)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SmtpNotificacaoService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resolve o e-mail do cliente, monta uma mensagem MIME HTML com o valor do orçamento e os dois botões de decisão, e envia via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JavaMailSender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 escolha do canal é uma property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NOTIFICACAO_CANAL=smtp|log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— trocar de canal não é uma decisão de código.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desenvolvimento e demo, o SMTP é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MailHog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(contêiner leve que captura qualquer e-mail e o exibe numa UI web em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http://localhost:8025</w:t>
      </w: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o que permite demonstrar o fluxo completo — orçamento gerado → e-mail recebido → clique → status alterado — sem credencial de provedor real. Em produção, bastaria apontar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SMTP_HOST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SMTP_PORT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um relay real (SES, SendGrid); nenhuma classe muda.</w:t>
      </w:r>
    </w:p>
    <w:p w:rsidR="00000000" w:rsidDel="00000000" w:rsidP="00000000" w:rsidRDefault="00000000" w:rsidRPr="00000000" w14:paraId="00000061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2.4 Débitos técnicos da Fase 1 — quitação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quatro débitos registrados no documento da Fase 1 foram endereçados:</w:t>
      </w:r>
    </w:p>
    <w:tbl>
      <w:tblPr>
        <w:tblStyle w:val="Table5"/>
        <w:tblW w:w="8488.0" w:type="dxa"/>
        <w:jc w:val="left"/>
        <w:tblLayout w:type="fixed"/>
        <w:tblLook w:val="0400"/>
      </w:tblPr>
      <w:tblGrid>
        <w:gridCol w:w="350"/>
        <w:gridCol w:w="2398"/>
        <w:gridCol w:w="5740"/>
        <w:tblGridChange w:id="0">
          <w:tblGrid>
            <w:gridCol w:w="350"/>
            <w:gridCol w:w="2398"/>
            <w:gridCol w:w="57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#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Débito (Fase 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Resolução (Fase 2)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Mappers manuais nos adapters de persistência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MapStruct nos cinco adapters (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infrastructure/persistence/mapper/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), com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unmappedTargetPolicy = ERROR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: campo novo esquecido de um lado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quebra o build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em vez de gravar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silenciosamente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Serviço de notificação stub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SmtpNotificacaoService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(seção 2.3)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fromPersistencia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com 9 parâmetros (Sonar S107)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Record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DadosOrdemServico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 domínio;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OrdemServico.reconstituir()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recebe 1 parâmetro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CVEs sem patch disponível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ardo" w:cs="Cardo" w:eastAsia="Cardo" w:hAnsi="Cardo"/>
                <w:sz w:val="22"/>
                <w:szCs w:val="22"/>
                <w:rtl w:val="0"/>
              </w:rPr>
              <w:t xml:space="preserve">Spring Boot atualizado 3.4.5 → 3.4.7; scan OWASP reexecutado em 09/07/2026 — as mesmas 4 CVEs seguem sem patch dos fornecedores; supressões mantidas com data atualizada</w:t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Adicionalmente,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Domain Storytelling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apontado como ausência na avaliação da Fase 1 — foi produzido e está em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docs/ddd/domain_storytelling.drawio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.svg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completando o conjunto de artefatos DDD.</w:t>
      </w:r>
    </w:p>
    <w:p w:rsidR="00000000" w:rsidDel="00000000" w:rsidP="00000000" w:rsidRDefault="00000000" w:rsidRPr="00000000" w14:paraId="00000073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3. Arquitetura de Infraestrutura</w:t>
      </w:r>
    </w:p>
    <w:p w:rsidR="00000000" w:rsidDel="00000000" w:rsidP="00000000" w:rsidRDefault="00000000" w:rsidRPr="00000000" w14:paraId="00000074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3.1 Visão geral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299610" cy="3356420"/>
            <wp:effectExtent b="0" l="0" r="0" t="0"/>
            <wp:docPr descr="Arquitetura da Fase 2" id="3" name="image3.png"/>
            <a:graphic>
              <a:graphicData uri="http://schemas.openxmlformats.org/drawingml/2006/picture">
                <pic:pic>
                  <pic:nvPicPr>
                    <pic:cNvPr descr="Arquitetura da Fase 2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9610" cy="33564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de deploy completo: push na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main</w:t>
      </w: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CI (build, testes, quality gates) → imagem Docker publicada no GHCR com a tag do SHA do commit → aprovação humana → rollout no EKS. A infraestrutura em si (VPC, EKS, RDS) tem ciclo de vida próprio no workflow de Terraform, com o mesmo gate de aprovação.</w:t>
      </w:r>
    </w:p>
    <w:p w:rsidR="00000000" w:rsidDel="00000000" w:rsidP="00000000" w:rsidRDefault="00000000" w:rsidRPr="00000000" w14:paraId="00000078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3.2 Containerização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Dockerfile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multi-stage (Maven para build, JRE Alpine para runtime — imagem final sem toolchain de compilação) e incorpora a recomendação da avaliação da Fase 1: o contêiner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roda como usuário não-root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spring:spring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com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HEALTHCHECK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apontando para o probe de liveness do Actuator.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sobe o inner-loop completo de desenvolvimento: PostgreSQL 16 (com healthcheck condicionando a subida da API), MailHog e a API. Um profile opcional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observability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acrescenta Grafana Tempo + Grafana para inspeção de traces OpenTelemetry — diferencial fora do escopo obrigatório. Senhas e segredos não têm default embutido no compose: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DB_PASS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JWT_SECRET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ausentes derrubam a subida com mensagem explícita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:?defina ... no .env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7B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 Kubernetes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manifests em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k8s/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são os mesmos para qualquer cluster (kind local ou EKS) — a diferença entre ambientes fica no Terraform, não nos YAMLs:</w:t>
      </w:r>
    </w:p>
    <w:tbl>
      <w:tblPr>
        <w:tblStyle w:val="Table6"/>
        <w:tblW w:w="8488.0" w:type="dxa"/>
        <w:jc w:val="left"/>
        <w:tblLayout w:type="fixed"/>
        <w:tblLook w:val="0400"/>
      </w:tblPr>
      <w:tblGrid>
        <w:gridCol w:w="3103"/>
        <w:gridCol w:w="5385"/>
        <w:tblGridChange w:id="0">
          <w:tblGrid>
            <w:gridCol w:w="3103"/>
            <w:gridCol w:w="53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Manifesto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Conteúdo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namespace.yaml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Namespace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oficina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app/deployment.yaml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Deployment da API — sem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replicas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fixo (o HPA é o dono da contagem), probes de startup/readiness/liveness no Actuator,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requests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limits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de CPU e memória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app/service.yaml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Service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LoadBalancer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front door externo da API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app/configmap.yaml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Configuração não-sensível (URL do banco, canal de notificação, SMTP)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app/secret.yaml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Placeholder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valores reais nunca vão para o git; em AWS quem materializa o Secret é o Terraform, a partir de secrets do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app/hpa.yaml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HorizontalPodAutoscaler: 2 a 8 réplicas, CPU 70% / memória 80%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database/*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StatefulSet PostgreSQL + Service — usado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apenas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 cluster local (na AWS o banco é RDS)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mailhog/*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Deployment + Service do MailHog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metrics-server/components.yaml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Metrics-server vendorizado — nem kind nem EKS o trazem por padrão, e o HPA depende dele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loadtest/k6-script.js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Script k6 para provocar o HPA na demonstração de escalabilidade</w:t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Duas decisões merecem justificativa: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before="280" w:lineRule="auto"/>
        <w:ind w:left="720" w:hanging="360"/>
        <w:jc w:val="both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imagePullPolicy: IfNotPresent</w:t>
      </w:r>
      <w:r w:rsidDel="00000000" w:rsidR="00000000" w:rsidRPr="00000000">
        <w:rPr>
          <w:b w:val="1"/>
          <w:bCs w:val="1"/>
          <w:rtl w:val="0"/>
        </w:rPr>
        <w:t xml:space="preserve"> explícito.</w:t>
      </w:r>
      <w:r w:rsidDel="00000000" w:rsidR="00000000" w:rsidRPr="00000000">
        <w:rPr>
          <w:rtl w:val="0"/>
        </w:rPr>
        <w:t xml:space="preserve"> Sem ele, o Kubernetes deriva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Always</w:t>
      </w:r>
      <w:r w:rsidDel="00000000" w:rsidR="00000000" w:rsidRPr="00000000">
        <w:rPr>
          <w:rtl w:val="0"/>
        </w:rPr>
        <w:t xml:space="preserve"> da tag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:latest</w:t>
      </w:r>
      <w:r w:rsidDel="00000000" w:rsidR="00000000" w:rsidRPr="00000000">
        <w:rPr>
          <w:rtl w:val="0"/>
        </w:rPr>
        <w:t xml:space="preserve"> — 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Always</w:t>
      </w:r>
      <w:r w:rsidDel="00000000" w:rsidR="00000000" w:rsidRPr="00000000">
        <w:rPr>
          <w:rtl w:val="0"/>
        </w:rPr>
        <w:t xml:space="preserve"> continua valendo depois que o CD troca a imagem por uma tag imutável, o que quebraria o deploy no kind (a imagem está no nó, mas o kubelet insistiria em puxar de um registry).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28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HPA por CPU e memória.</w:t>
      </w:r>
      <w:r w:rsidDel="00000000" w:rsidR="00000000" w:rsidRPr="00000000">
        <w:rPr>
          <w:rtl w:val="0"/>
        </w:rPr>
        <w:t xml:space="preserve"> O requisito pede escalonamento por consumo; usar as duas métricas evita o ponto cego de uma aplicação JVM que satura heap sem saturar CPU.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b45309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b45309"/>
        </w:rPr>
        <w:drawing>
          <wp:inline distB="114300" distT="114300" distL="114300" distR="114300">
            <wp:extent cx="5399730" cy="2895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3.4 Infraestrutura como Código — Terraform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Dois ambientes com o mesmo conjunto de manifests:</w:t>
      </w:r>
    </w:p>
    <w:tbl>
      <w:tblPr>
        <w:tblStyle w:val="Table7"/>
        <w:tblW w:w="8519.0" w:type="dxa"/>
        <w:jc w:val="left"/>
        <w:tblLayout w:type="fixed"/>
        <w:tblLook w:val="0400"/>
      </w:tblPr>
      <w:tblGrid>
        <w:gridCol w:w="3121"/>
        <w:gridCol w:w="1316"/>
        <w:gridCol w:w="1493"/>
        <w:gridCol w:w="797"/>
        <w:gridCol w:w="1792"/>
        <w:tblGridChange w:id="0">
          <w:tblGrid>
            <w:gridCol w:w="3121"/>
            <w:gridCol w:w="1316"/>
            <w:gridCol w:w="1493"/>
            <w:gridCol w:w="797"/>
            <w:gridCol w:w="17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Ambiente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Cluster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Banco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Uso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infra/environments/local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kind (Kubernetes em Docker)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PostgreSQL in-cluster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Zero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Desenvolvimento e validação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infra/environments/aws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EKS 1.33 (2× t3.small, node group 2–3)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RDS PostgreSQL 16 (db.t4g.micro, gp3 20GB)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~US$ 0,16/h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Demo e entrega</w:t>
            </w:r>
          </w:p>
        </w:tc>
      </w:tr>
    </w:tbl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ambiente AWS o Terraform provisiona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tudo do zero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em conta pessoal — VPC, subnets públicas em duas AZs, Internet Gateway, IAM roles de cluster e nós, EKS, RDS — e, ao final, renderiza ConfigMap/Secret com o endpoint real do RDS e aplica os manifests no cluster. Recursos criados e instruções de aplicação estão documentados em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infra/README.md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como o edital exige.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Decisões de custo e segurança que valem registro: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before="28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Sem NAT Gateway.</w:t>
      </w:r>
      <w:r w:rsidDel="00000000" w:rsidR="00000000" w:rsidRPr="00000000">
        <w:rPr>
          <w:rtl w:val="0"/>
        </w:rPr>
        <w:t xml:space="preserve"> Os nós ficam em subnets públicas com Security Group restritivo. Um NAT custa ~US$ 0,045/h só por existir; o trade-off é aceitável porque o cluster é efêmero — sobe para a demo, é destruído em seguida.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RDS fechado.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publicly_accessible = false</w:t>
      </w:r>
      <w:r w:rsidDel="00000000" w:rsidR="00000000" w:rsidRPr="00000000">
        <w:rPr>
          <w:rtl w:val="0"/>
        </w:rPr>
        <w:t xml:space="preserve"> e ingress na 5432 </w:t>
      </w:r>
      <w:r w:rsidDel="00000000" w:rsidR="00000000" w:rsidRPr="00000000">
        <w:rPr>
          <w:b w:val="1"/>
          <w:bCs w:val="1"/>
          <w:rtl w:val="0"/>
        </w:rPr>
        <w:t xml:space="preserve">apenas</w:t>
      </w:r>
      <w:r w:rsidDel="00000000" w:rsidR="00000000" w:rsidRPr="00000000">
        <w:rPr>
          <w:rtl w:val="0"/>
        </w:rPr>
        <w:t xml:space="preserve"> a partir do Security Group dos nós do EKS — nunca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Backend de state fora do Terraform.</w:t>
      </w:r>
      <w:r w:rsidDel="00000000" w:rsidR="00000000" w:rsidRPr="00000000">
        <w:rPr>
          <w:rtl w:val="0"/>
        </w:rPr>
        <w:t xml:space="preserve"> O state fica em S3 com lock em DynamoDB, mas esses dois recursos são criados por um script idempotente (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infra/bootstrap/bootstrap.sh</w:t>
      </w:r>
      <w:r w:rsidDel="00000000" w:rsidR="00000000" w:rsidRPr="00000000">
        <w:rPr>
          <w:rtl w:val="0"/>
        </w:rPr>
        <w:t xml:space="preserve">), não por Terraform — o primeiro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apply</w:t>
      </w:r>
      <w:r w:rsidDel="00000000" w:rsidR="00000000" w:rsidRPr="00000000">
        <w:rPr>
          <w:rtl w:val="0"/>
        </w:rPr>
        <w:t xml:space="preserve"> que criasse o bucket precisaria guardar o próprio state em algum lugar que ainda não existe. Um script sem state pode rodar N vezes num runner efêmero e converge sempre para o mesmo resultado.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8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Acesso do pipeline via OIDC.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infra/bootstrap/github-oidc.sh</w:t>
      </w:r>
      <w:r w:rsidDel="00000000" w:rsidR="00000000" w:rsidRPr="00000000">
        <w:rPr>
          <w:rtl w:val="0"/>
        </w:rPr>
        <w:t xml:space="preserve"> (único passo local, executado uma vez) cria um OIDC provider e uma IAM role que </w:t>
      </w:r>
      <w:r w:rsidDel="00000000" w:rsidR="00000000" w:rsidRPr="00000000">
        <w:rPr>
          <w:b w:val="1"/>
          <w:bCs w:val="1"/>
          <w:rtl w:val="0"/>
        </w:rPr>
        <w:t xml:space="preserve">somente este repositório</w:t>
      </w:r>
      <w:r w:rsidDel="00000000" w:rsidR="00000000" w:rsidRPr="00000000">
        <w:rPr>
          <w:rtl w:val="0"/>
        </w:rPr>
        <w:t xml:space="preserve"> consegue assumir. Não existe access key estática guardada em secret.</w:t>
      </w:r>
    </w:p>
    <w:p w:rsidR="00000000" w:rsidDel="00000000" w:rsidP="00000000" w:rsidRDefault="00000000" w:rsidRPr="00000000" w14:paraId="000000AE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3.5 CI/CD — GitHub Actions</w:t>
      </w:r>
    </w:p>
    <w:tbl>
      <w:tblPr>
        <w:tblStyle w:val="Table8"/>
        <w:tblW w:w="8488.0" w:type="dxa"/>
        <w:jc w:val="left"/>
        <w:tblLayout w:type="fixed"/>
        <w:tblLook w:val="0400"/>
      </w:tblPr>
      <w:tblGrid>
        <w:gridCol w:w="1831"/>
        <w:gridCol w:w="2129"/>
        <w:gridCol w:w="4528"/>
        <w:tblGridChange w:id="0">
          <w:tblGrid>
            <w:gridCol w:w="1831"/>
            <w:gridCol w:w="2129"/>
            <w:gridCol w:w="452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Workflow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Gatilho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O que faz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ci-cd.yml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push/PR em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Build + testes (JaCoCo, gate de 80% no domínio) + OWASP Dependency Check + SonarCloud com quality gate bloqueante; em push, segue para build da imagem Docker, push no GHCR (tag = SHA do commit +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latest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) e deploy no EKS com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kubectl set image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rollout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terraform.yml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mudança em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infra/**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k8s/**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bootstrap</w:t>
            </w:r>
            <w:r w:rsidDel="00000000" w:rsidR="00000000" w:rsidRPr="00000000">
              <w:rPr>
                <w:rFonts w:ascii="Cardo" w:cs="Cardo" w:eastAsia="Cardo" w:hAnsi="Cardo"/>
                <w:sz w:val="22"/>
                <w:szCs w:val="22"/>
                <w:rtl w:val="0"/>
              </w:rPr>
              <w:t xml:space="preserve"> (backend de state, idempotente) →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plan</w:t>
            </w:r>
            <w:r w:rsidDel="00000000" w:rsidR="00000000" w:rsidRPr="00000000">
              <w:rPr>
                <w:rFonts w:ascii="Cardo" w:cs="Cardo" w:eastAsia="Cardo" w:hAnsi="Cardo"/>
                <w:sz w:val="22"/>
                <w:szCs w:val="22"/>
                <w:rtl w:val="0"/>
              </w:rPr>
              <w:t xml:space="preserve"> automático (só leitura, sem custo) →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apply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pausado aguardando aprovação humana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destroy-aws.yml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manual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Remove o Service LoadBalancer (evita ELB órfão), destrói EKS + RDS e remove o backend de state — para a cobrança com um clique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passo que cria, altera ou destrói recurso cobrado passa pelo GitHub Environment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aws-production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required reviewers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o pipeline para e espera aprovação humana. O deploy aplica exatamente o plano revisado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terraform apply tfplan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 artefato gerado no plan — não um plan novo).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color w:val="b45309"/>
        </w:rPr>
      </w:pPr>
      <w:r w:rsidDel="00000000" w:rsidR="00000000" w:rsidRPr="00000000">
        <w:rPr>
          <w:b w:val="1"/>
          <w:bCs w:val="1"/>
          <w:color w:val="b45309"/>
        </w:rPr>
        <w:drawing>
          <wp:inline distB="114300" distT="114300" distL="114300" distR="114300">
            <wp:extent cx="5399730" cy="19685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color w:val="b45309"/>
        </w:rPr>
      </w:pPr>
      <w:r w:rsidDel="00000000" w:rsidR="00000000" w:rsidRPr="00000000">
        <w:rPr>
          <w:b w:val="1"/>
          <w:bCs w:val="1"/>
          <w:color w:val="b45309"/>
        </w:rPr>
        <w:drawing>
          <wp:inline distB="114300" distT="114300" distL="114300" distR="114300">
            <wp:extent cx="5399730" cy="50419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pipeline atende integralmente os itens do edital: build da aplicação, execução dos testes, build da imagem, deploy do banco (Terraform/RDS), aplicação dos manifests e deploy no cluster.</w:t>
      </w:r>
    </w:p>
    <w:p w:rsidR="00000000" w:rsidDel="00000000" w:rsidP="00000000" w:rsidRDefault="00000000" w:rsidRPr="00000000" w14:paraId="000000BF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 APIs — Novas e Alteradas</w:t>
      </w:r>
    </w:p>
    <w:tbl>
      <w:tblPr>
        <w:tblStyle w:val="Table9"/>
        <w:tblW w:w="8488.0" w:type="dxa"/>
        <w:jc w:val="left"/>
        <w:tblLayout w:type="fixed"/>
        <w:tblLook w:val="0400"/>
      </w:tblPr>
      <w:tblGrid>
        <w:gridCol w:w="962"/>
        <w:gridCol w:w="3463"/>
        <w:gridCol w:w="984"/>
        <w:gridCol w:w="3079"/>
        <w:tblGridChange w:id="0">
          <w:tblGrid>
            <w:gridCol w:w="962"/>
            <w:gridCol w:w="3463"/>
            <w:gridCol w:w="984"/>
            <w:gridCol w:w="30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Método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Endpoint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Novidade na Fase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JWT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 (Fase 1) Abertura de OS com cliente, veículo, serviços e peças; retorna UUID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JWT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Alterado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ordenação por prioridade de status + antiguidade; exclui OS finalizadas/entregues (exclusão lógica)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Pública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 (Fase 1) Consulta de status pelo 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/api/ordens/{id}/aprovar-externo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Pública (token)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Novo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decisão externa via JSON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/api/ordens/{id}/aprovar-externo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Pública (token)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Novo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botão "Aprovar" do e-mail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/api/ordens/{id}/reprovar-externo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Pública (token)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Novo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botão "Reprovar" do e-mail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/api/veiculos/{id}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JWT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Novo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— atualização de veículo</w:t>
            </w:r>
          </w:p>
        </w:tc>
      </w:tr>
    </w:tbl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requisito "atualização de status da OS via alguma ferramenta como e-mail" é atendido pelo trio orçamento gerado → e-mail com botões → clique altera o status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Aguardando Aprovação</w:t>
      </w:r>
      <w:r w:rsidDel="00000000" w:rsidR="00000000" w:rsidRPr="00000000">
        <w:rPr>
          <w:rFonts w:ascii="Cardo" w:cs="Cardo" w:eastAsia="Cardo" w:hAnsi="Card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Cancelada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demais grupos de endpoints (Auth, Clientes, Veículos, Serviços, Peças, Relatório) permanecem como na Fase 1, documentados no Swagger UI.</w:t>
      </w:r>
    </w:p>
    <w:p w:rsidR="00000000" w:rsidDel="00000000" w:rsidP="00000000" w:rsidRDefault="00000000" w:rsidRPr="00000000" w14:paraId="000000E2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5. Qualidade de Software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régua da Fase 1 foi mantida e a suíte cresceu junto com as funcionalidades:</w:t>
      </w:r>
    </w:p>
    <w:tbl>
      <w:tblPr>
        <w:tblStyle w:val="Table10"/>
        <w:tblW w:w="8488.0" w:type="dxa"/>
        <w:jc w:val="left"/>
        <w:tblLayout w:type="fixed"/>
        <w:tblLook w:val="0400"/>
      </w:tblPr>
      <w:tblGrid>
        <w:gridCol w:w="1438"/>
        <w:gridCol w:w="2021"/>
        <w:gridCol w:w="5029"/>
        <w:tblGridChange w:id="0">
          <w:tblGrid>
            <w:gridCol w:w="1438"/>
            <w:gridCol w:w="2021"/>
            <w:gridCol w:w="5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Camada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Tecnologia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Cobertura da Fase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Domain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JUnit 5 puro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Token de aprovação (geração, expiração, uso único), exclusão lógica, transições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Application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JUnit 5 + Mockito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Use cases de aprovação/reprovação externa, listagem ordenada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Infrastructure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Testcontainers (PostgreSQL real)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Fluxo E2E, estorno, ordenação da listagem via API, aprovação externa por token e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cliques nos links do e-mail sem autenticação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122 testes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(114 unitários e de use case + 8 de integração), todos passando. Gates inalterados: JaCoCo falha o build abaixo de 80% de cobertura de instruções no domínio; SonarCloud com quality gate bloqueante; OWASP Dependency Check com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failBuildOnCVSS=9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SonarCloud também deixou de reportar o S107 (método com 9 parâmetros), quitado pelo record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DadosOrdemServico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2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6. Segurança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spacing w:after="0" w:before="28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Rotas públicas são exceções deliberadas</w:t>
      </w:r>
      <w:r w:rsidDel="00000000" w:rsidR="00000000" w:rsidRPr="00000000">
        <w:rPr>
          <w:rtl w:val="0"/>
        </w:rPr>
        <w:t xml:space="preserve">, listadas uma a uma no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SecurityConfig</w:t>
      </w:r>
      <w:r w:rsidDel="00000000" w:rsidR="00000000" w:rsidRPr="00000000">
        <w:rPr>
          <w:rtl w:val="0"/>
        </w:rPr>
        <w:t xml:space="preserve">: consulta de status, aprovação externa (POST + os dois GETs do e-mail), auth, Swagger e Actuator. Todo o resto continua exigindo JWT (com a mesma rotação de refresh token e detecção de reuso da Fase 1).</w:t>
      </w:r>
    </w:p>
    <w:p w:rsidR="00000000" w:rsidDel="00000000" w:rsidP="00000000" w:rsidRDefault="00000000" w:rsidRPr="00000000" w14:paraId="000000F4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Nenhum segredo no repositório</w:t>
      </w:r>
      <w:r w:rsidDel="00000000" w:rsidR="00000000" w:rsidRPr="00000000">
        <w:rPr>
          <w:rtl w:val="0"/>
        </w:rPr>
        <w:t xml:space="preserve">: o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k8s/app/secret.yaml</w:t>
      </w:r>
      <w:r w:rsidDel="00000000" w:rsidR="00000000" w:rsidRPr="00000000">
        <w:rPr>
          <w:rtl w:val="0"/>
        </w:rPr>
        <w:t xml:space="preserve"> versionado contém apenas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REPLACE_ME</w:t>
      </w:r>
      <w:r w:rsidDel="00000000" w:rsidR="00000000" w:rsidRPr="00000000">
        <w:rPr>
          <w:rFonts w:ascii="Cardo" w:cs="Cardo" w:eastAsia="Cardo" w:hAnsi="Cardo"/>
          <w:rtl w:val="0"/>
        </w:rPr>
        <w:t xml:space="preserve">; os valores reais entram por GitHub Secrets → Terraform → Secret do cluster. O compose exige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.env</w:t>
      </w:r>
      <w:r w:rsidDel="00000000" w:rsidR="00000000" w:rsidRPr="00000000">
        <w:rPr>
          <w:rtl w:val="0"/>
        </w:rPr>
        <w:t xml:space="preserve"> local.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Pipeline sem credencial estática</w:t>
      </w:r>
      <w:r w:rsidDel="00000000" w:rsidR="00000000" w:rsidRPr="00000000">
        <w:rPr>
          <w:rFonts w:ascii="Cardo" w:cs="Cardo" w:eastAsia="Cardo" w:hAnsi="Cardo"/>
          <w:rtl w:val="0"/>
        </w:rPr>
        <w:t xml:space="preserve">: OIDC GitHub → AWS com role restrita ao repositório.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Contêiner não-root</w:t>
      </w:r>
      <w:r w:rsidDel="00000000" w:rsidR="00000000" w:rsidRPr="00000000">
        <w:rPr>
          <w:rtl w:val="0"/>
        </w:rPr>
        <w:t xml:space="preserve"> (feedback da Fase 1 endereçado).</w:t>
      </w:r>
    </w:p>
    <w:p w:rsidR="00000000" w:rsidDel="00000000" w:rsidP="00000000" w:rsidRDefault="00000000" w:rsidRPr="00000000" w14:paraId="000000F7">
      <w:pPr>
        <w:numPr>
          <w:ilvl w:val="0"/>
          <w:numId w:val="3"/>
        </w:numPr>
        <w:spacing w:after="280" w:before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CVEs</w:t>
      </w:r>
      <w:r w:rsidDel="00000000" w:rsidR="00000000" w:rsidRPr="00000000">
        <w:rPr>
          <w:rtl w:val="0"/>
        </w:rPr>
        <w:t xml:space="preserve">: reverificação completa em 09/07/2026 com Spring Boot 3.4.7 — detalhe na seção 2.4 e em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owasp-suppressions.xml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7. Débitos Técnicos Conhecidos (Fase 2)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na Fase 1, simplificações conscientes ficam registradas: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de orçamento sem detalhamento de itens.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Hoje o e-mail de aprovação exibe apenas o valor total da OS e os botões Aprovar/Reprovar. O contrato do port NotificacaoService.notificarOrcamentoPendente recebe somente valorTotal, sem a composição do orçamento — o cliente não vê quais serviços e peças justificam o valor. Melhoria planejada: enriquecer o contrato do port com a lista de itens (serviço/peça, quantidade, preço unitário em snapshot e subtotal) e dados de contexto (veículo, prazo estimado e validade do orçamento), renderizando uma tabela no corpo HTML já existente. Os itens já vivem no agregado OrdemServico; falta apenas propagá-los pela fronteira de notificação, sem tocar em regra de domínio. Impacto: transparência ao cliente e menor reprovação por falta de informação. Custo baixo, risco baixo.</w:t>
      </w:r>
    </w:p>
    <w:tbl>
      <w:tblPr>
        <w:tblStyle w:val="Table11"/>
        <w:tblW w:w="8488.0" w:type="dxa"/>
        <w:jc w:val="left"/>
        <w:tblLayout w:type="fixed"/>
        <w:tblLook w:val="0400"/>
      </w:tblPr>
      <w:tblGrid>
        <w:gridCol w:w="350"/>
        <w:gridCol w:w="2934"/>
        <w:gridCol w:w="2469"/>
        <w:gridCol w:w="2735"/>
        <w:tblGridChange w:id="0">
          <w:tblGrid>
            <w:gridCol w:w="350"/>
            <w:gridCol w:w="2934"/>
            <w:gridCol w:w="2469"/>
            <w:gridCol w:w="27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#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Débito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spacing w:after="160" w:before="160" w:lineRule="auto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Solução sugerida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MAIL_BASE_URL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fixo em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http://localhost:8080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nos ConfigMaps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Os links do e-mail assumem port-forward na demo; com o LoadBalancer como front door, apontariam para o host errado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Promover a variável Terraform preenchida com o hostname do ELB após a criação do Service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MailHog como SMTP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Captura e-mails, não os entrega a caixas reais — adequado à demo, não à produção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Trocar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SMTP_HOST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SMTP_PORT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por um relay real (SES/SendGrid); nenhuma classe muda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Perfil único de acesso (Admin)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RBAC Atendente/Mecânico segue não implementado (Hot Spot PA4 da Fase 1)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Roles no JWT + </w:t>
            </w: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@PreAuthorize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por perfil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Nós do EKS em subnets públicas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Trade-off deliberado de custo (sem NAT Gateway) aceitável só porque o cluster é efêmero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spacing w:after="160" w:before="16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NAT Gateway + subnets privadas num ambiente permanente</w:t>
            </w:r>
          </w:p>
        </w:tc>
      </w:tr>
    </w:tbl>
    <w:p w:rsidR="00000000" w:rsidDel="00000000" w:rsidP="00000000" w:rsidRDefault="00000000" w:rsidRPr="00000000" w14:paraId="0000010F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8. Conclusão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Fase 2 transformou o MVP da Fase 1 em um sistema implantável, escalável e reprodutível de ponta a ponta. As funcionalidades pedidas pelo edital — listagem priorizada com exclusão lógica, aprovação externa de orçamento e atualização de status via e-mail — foram implementadas como extensões naturais do domínio existente, o que validou na prática as fronteiras desenhadas na Fase 1: o ACL de notificação recebeu seu canal concreto e o agregado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OrdemServico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absorveu token de aprovação e exclusão lógica sem que nenhum use case anterior fosse reescrito.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infraestrutura, a mesma aplicação roda em três alvos com artefatos idênticos — Docker Compose no inner-loop, kind com custo zero e EKS + RDS na AWS — provisionados por Terraform e operados inteiramente pelo GitHub Actions, com aprovação humana obrigatória em qualquer passo que crie custo e destruição completa com um clique. A escalabilidade dinâmica exigida é demonstrável: HPA de 2 a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réplicas reagindo a carga gerada por k6.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régua de qualidade não cedeu à pressa da fase: 122 testes, cobertura de domínio travada em 80% no build, quality gate SonarCloud bloqueante, OWASP a cada push e os quatro débitos técnicos da Fase 1 quitados — incluindo o Domain Storytelling apontado na avaliação anterior.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9. Referências Bibliográficas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EVANS, E.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Domain-Driven Design: Tackling Complexity in the Heart of Software.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Boston: Addison-Wesley, 2003.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VERNON, V.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Implementing Domain-Driven Design.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Boston: Addison-Wesley, 2013.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BURNS, B.; BEDA, J.; HIGHTOWER, K.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Kubernetes: Up and Running.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3. ed. Sebastopol: O'Reilly, 2022.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HASHICORP.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Terraform Documentation.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Disponível em: https://developer.hashicorp.com/terraform/docs. Acesso em: julho 2026.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KUBERNETES.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Horizontal Pod Autoscaling.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Disponível em: https://kubernetes.io/docs/tasks/run-application/horizontal-pod-autoscale/. Acesso em: julho 2026.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AMAZON WEB SERVICES.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Amazon EKS User Guide.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Disponível em: https://docs.aws.amazon.com/eks/latest/userguide/. Acesso em: julho 2026.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OWASP Foundation.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OWASP Dependency-Check.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Disponível em: https://owasp.org/www-project-dependency-check/. Acesso em: julho 2026.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Fira Mono">
    <w:embedRegular w:fontKey="{00000000-0000-0000-0000-000000000000}" r:id="rId4" w:subsetted="0"/>
    <w:embedBold w:fontKey="{00000000-0000-0000-0000-000000000000}" r:id="rId5" w:subsetted="0"/>
  </w:font>
  <w:font w:name="Noto Sans Symbols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spacing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before="280" w:lineRule="auto"/>
    </w:pPr>
    <w:rPr>
      <w:b w:val="1"/>
      <w:bCs w:val="1"/>
      <w:sz w:val="25"/>
      <w:szCs w:val="25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FiraMono-regular.ttf"/><Relationship Id="rId5" Type="http://schemas.openxmlformats.org/officeDocument/2006/relationships/font" Target="fonts/FiraMono-bold.ttf"/><Relationship Id="rId6" Type="http://schemas.openxmlformats.org/officeDocument/2006/relationships/font" Target="fonts/NotoSansSymbols-regular.ttf"/><Relationship Id="rId7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