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(até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em homologação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&lt;api_gateway_url&gt;/swagger-ui.html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401  AUTENTICACAO_RECUSADA  (CPF sem cadastro, cliente inativo ou bloqueado)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CPF sem cadastro e cadastro sem permissão recebem a mesma resposta, com status 401, cabeçalhos e corpo idênticos. O motivo específico é registrado apenas no log, de modo que o endpoint não permita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56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adotados teto de dez execuções simultâneas, imposto pelo limite de concorrência da conta e configurável como reserva no template,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do Spring Boot 3.4 (ECS), enviado pelo agente com trace.id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 na saída do container, com campos padronizados de nível, logger, mensagem e contexto.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envio ao New Relic é feito pelo agente de APM, que anexa a cada linha o trace.id e o span.id da transação em andamento e permite abrir o trace a partir do log. O Fluent Bit da integração Kubernetes permanece desativado: conforme orientação da Aula 08, com os dois mecanismos ativos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mesma ADR registrou como risco a escala prematura pela métrica de memória e recomendou validá-la com teste de carga. O teste em homologação confirmou o risco: a memória permanecia acima do alvo mesmo com a aplicação ociosa, porque a JVM retém o heap alocado, e o autoscaler não retornava ao número mínimo de réplicas. A ADR-015 registra a correção, com a escala passando a considerar apenas CPU, e supera a ADR-011 nesse ponto. O caso exemplifica o ciclo de vida descrito acima: uma decisão não é editada, e a mudança de rumo é registrada em nova ADR.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quatro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quatro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 401 idêntica para CPF sem cadastro e cadastro inativo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