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120"/>
        <w:jc w:val="center"/>
      </w:pPr>
      <w:r>
        <w:rPr>
          <w:rFonts w:ascii="Times New Roman" w:hAnsi="Times New Roman"/>
          <w:b/>
          <w:i w:val="0"/>
          <w:color w:val="1F3A5F"/>
          <w:sz w:val="36"/>
        </w:rPr>
        <w:t>SISTEMA INTEGRADO DE ATENDIMENTO E EXECUÇÃO DE SERVIÇOS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color w:val="555555"/>
          <w:sz w:val="28"/>
        </w:rPr>
        <w:t>Tech Challenge — Fase 3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color w:val="555555"/>
          <w:sz w:val="24"/>
        </w:rPr>
        <w:t>Segurança, observabilidade e operação em nuvem</w:t>
      </w:r>
    </w:p>
    <w:p/>
    <w:p/>
    <w:p/>
    <w:p/>
    <w:p/>
    <w:p/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Danilo Canato — RM 372411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Guilherme Fumagali Marques — RM 372421</w:t>
      </w:r>
    </w:p>
    <w:p/>
    <w:p/>
    <w:p/>
    <w:p/>
    <w:p/>
    <w:p/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color w:val="555555"/>
          <w:sz w:val="22"/>
        </w:rPr>
        <w:t>PosTech FIAP — Arquitetura de Software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color w:val="555555"/>
          <w:sz w:val="22"/>
        </w:rPr>
        <w:t>Setembro de 2026</w:t>
      </w:r>
    </w:p>
    <w:p>
      <w:r>
        <w:br w:type="page"/>
      </w:r>
    </w:p>
    <w:p>
      <w:pPr>
        <w:pStyle w:val="Heading2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8"/>
        </w:rPr>
        <w:t>Referências de Entrega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Esta seção reúne os links dos quatro repositórios, do vídeo de demonstração e da documentação arquitetural. O usuário soat-architecture foi adicionado como colaborador em todos os repositórios. A aplicação oficina-api permanece no repositório utilizado nas fases anteriores, tech-challenge-1, de modo a preservar o histórico.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Repositório</w:t>
            </w:r>
          </w:p>
        </w:tc>
        <w:tc>
          <w:tcPr>
            <w:tcW w:type="dxa" w:w="3118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Conteúdo</w:t>
            </w:r>
          </w:p>
        </w:tc>
        <w:tc>
          <w:tcPr>
            <w:tcW w:type="dxa" w:w="3572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Link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tech-challenge-1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Aplicação oficina-api (Spring Boot)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github.com/Guilherme-Fumagali/tech-challenge-1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oficina-auth-lambda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Function de autenticação por CPF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github.com/Guilherme-Fumagali/oficina-auth-lambda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oficina-infra-k8s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Rede, EKS, ECR, API Gateway, New Relic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github.com/Guilherme-Fumagali/oficina-infra-k8s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oficina-infra-db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RDS PostgreSQL gerenciado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github.com/Guilherme-Fumagali/oficina-infra-db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969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Artefato</w:t>
            </w:r>
          </w:p>
        </w:tc>
        <w:tc>
          <w:tcPr>
            <w:tcW w:type="dxa" w:w="5102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Link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Vídeo de demonstração (até 15 min)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&lt;preencher antes da entrega&gt;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Deploy ativo em homologação (API Gateway)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&lt;preencher com o output api_gateway_url&gt;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Swagger / OpenAPI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&lt;api_gateway_url&gt;/swagger-ui.html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Dashboard de negócio (New Relic)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&lt;preencher&gt;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RFCs, ADRs, diagramas e débitos técnicos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github.com/Guilherme-Fumagali/tech-challenge-1/tree/main/docs/tech-challenge-3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8"/>
        </w:rPr>
        <w:t>1. Introdução e Contexto do Problema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oficina mecânica atendida por este sistema expandiu sua operação para múltiplas unidades, e a base de clientes está em crescimento. Com isso, as necessidades deixaram de se limitar à organização interna e passaram a envolver aspectos operacionais: controle de acesso, visibilidade do comportamento do sistema em tempo real e capacidade de absorver picos de uso sem intervenção manual.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requisitos desta fase não acrescentam funcionalidades de negócio. Eles tratam de capacidade operacional: autenticação na borda, segregação de responsabilidades entre repositórios, infraestrutura de nuvem declarada em código e observabilidade com uma plataforma de mercado.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1.1 Situação ao final da Fase 2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Parte da infraestrutura exigida já havia sido implementada na Fase 2. O levantamento realizado antes do início da implementação indicou que três dos cinco requisitos de infraestrutura estavam atendidos: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969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Requisito da Fase 3</w:t>
            </w:r>
          </w:p>
        </w:tc>
        <w:tc>
          <w:tcPr>
            <w:tcW w:type="dxa" w:w="5102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Situação ao iniciar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Cluster Kubernetes com escalabilidade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EKS com HPA por CPU e memória, já provisionados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Banco de dados gerenciado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RDS PostgreSQL 16, sem acesso público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Terraform para provisionamento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VPC, EKS, RDS e backend de state em S3 e DynamoDB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API Gateway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Inexistente; a proteção era feita apenas pelo Spring Security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Function serverless para autenticação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Inexistente; a própria aplicação emitia o token</w:t>
            </w:r>
          </w:p>
        </w:tc>
      </w:tr>
    </w:tbl>
    <w:p>
      <w:pPr>
        <w:spacing w:after="80"/>
      </w:pP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implementação concentrou-se, portanto, em três frentes: a transferência da autenticação para fora da aplicação, a divisão do repositório único em quatro repositórios com pipelines próprios e a instrumentação do sistema para observabilidade.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i w:val="0"/>
          <w:sz w:val="20"/>
        </w:rPr>
        <w:t>Figura 1 — Diagrama de contexto (C4, nível 1)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53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-contex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3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color w:val="555555"/>
          <w:sz w:val="20"/>
        </w:rPr>
        <w:t>Fonte: elaborado pelos autores.</w:t>
      </w:r>
    </w:p>
    <w:p>
      <w:r>
        <w:br w:type="page"/>
      </w:r>
    </w:p>
    <w:p>
      <w:pPr>
        <w:pStyle w:val="Heading2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8"/>
        </w:rPr>
        <w:t>2. Evolução da Aplicação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2.1 Emissão de tokens transferida para a função serverless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Até a Fase 2, a autenticação era realizada pela própria aplicação: um AuthController expunha as operações de login, refresh e logout, o JwtService assinava os tokens e um único usuário administrador era mantido em memória.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Na Fase 3, a emissão do token passou a ser responsabilidade de uma função Lambda, e a aplicação ficou restrita à validação. Foram removidos o AuthController, o UserDetailsConfig, o RefreshTokenService e os três DTOs associados. O JwtService manteve apenas a verificação de assinatura e a leitura de claims.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principal motivação é concentrar a emissão em um único componente, o que simplifica a rotação da chave, padroniza as claims e centraliza a auditoria. A alternativa de manter dois emissores, um para clientes e outro para administradores, foi descartada por criar dois domínios de confiança sobre a mesma API.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2.2 Métricas de negócio emitidas a partir do domínio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três painéis exigidos pelo enunciado (volume diário de ordens, tempo médio por status e erros de integração) não são fornecidos pelo agente de APM, que coleta latência e erros HTTP, mas não possui informação sobre o ciclo de vida de uma ordem de serviço.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Uma alternativa seria injetar o MeterRegistry em cada caso de uso, o que exigiria alterar nove construtores. Optou-se por fazer o agregado OrdemServico registrar eventos de transição em um método único, que também valida a mudança de status e calcula o tempo de permanência no estado anterior. O adaptador de persistência consome esses eventos ao salvar a ordem, ponto pelo qual todas as transições passam.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Dessa forma, a métrica representa o evento de negócio, e não a requisição HTTP, e permanece correta caso a ordem passe a ser aberta por outro canal. O domínio também não depende do Micrometer.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i w:val="0"/>
          <w:sz w:val="20"/>
        </w:rPr>
        <w:t>Figura 2 — Componentes da aplicação oficina-api (C4, nível 3)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80503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-compon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8050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color w:val="555555"/>
          <w:sz w:val="20"/>
        </w:rPr>
        <w:t>Fonte: elaborado pelos autores.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i w:val="0"/>
          <w:sz w:val="20"/>
        </w:rPr>
        <w:t>Figura 3 — Sequência de abertura de ordem de serviço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708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-abertura-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0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color w:val="555555"/>
          <w:sz w:val="20"/>
        </w:rPr>
        <w:t>Fonte: elaborado pelos autores.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2.3 Ajustes no modelo relacional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Foram criadas duas migrations, ambas motivadas por requisitos da fase: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Migration</w:t>
            </w:r>
          </w:p>
        </w:tc>
        <w:tc>
          <w:tcPr>
            <w:tcW w:type="dxa" w:w="3118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Mudança</w:t>
            </w:r>
          </w:p>
        </w:tc>
        <w:tc>
          <w:tcPr>
            <w:tcW w:type="dxa" w:w="4535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Motivo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V6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clientes.status e constraint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 Lambda consulta a existência e o status do cliente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V6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idx_clientes_cpf_status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Consulta executada a cada autenticação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V6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idx_os_status_abertura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Listagem por prioridade e agregações dos dashboards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V7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ordens_servico.data_ultima_transicao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Necessária para medir a permanência por status</w:t>
            </w:r>
          </w:p>
        </w:tc>
      </w:tr>
    </w:tbl>
    <w:p>
      <w:pPr>
        <w:spacing w:after="80"/>
      </w:pP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valor padrão 'ATIVO' na coluna de status mantém a autenticação dos registros existentes após o deploy. O preenchimento da V7 utiliza COALESCE sobre as datas já registradas, que é a melhor aproximação disponível para as ordens antigas.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2.4 Débitos técnicos da Fase 2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Fase 2 foi encerrada com um débito aberto, o DT-01: o e-mail de aprovação de orçamento apresenta apenas o valor total, sem detalhar os serviços e as peças que o compõem.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débito permanece aberto, pois o escopo da Fase 3 é infraestrutura, segurança e observabilidade, e nenhum requisito envolve o conteúdo da notificação. A correção está prevista para quando a notificação for migrada para SNS/SES.</w:t>
      </w:r>
    </w:p>
    <w:p>
      <w:r>
        <w:br w:type="page"/>
      </w:r>
    </w:p>
    <w:p>
      <w:pPr>
        <w:pStyle w:val="Heading2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8"/>
        </w:rPr>
        <w:t>3. Autenticação e API Gateway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3.1 Fluxo de autenticação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cliente envia o CPF ao API Gateway, que encaminha a requisição para a função Lambda. A função normaliza o CPF e valida o dígito verificador antes de consultar o banco de dados; em seguida, verifica a existência e o status do cliente e, se ele estiver ativo, assina um JWT com validade de quinze minutos. Nas requisições seguintes, um Lambda authorizer valida a assinatura na borda, com cache de trezentos segundos.</w:t>
      </w:r>
    </w:p>
    <w:p>
      <w:pPr>
        <w:spacing w:before="80" w:after="160" w:line="240" w:lineRule="auto"/>
        <w:ind w:left="567"/>
        <w:shd w:val="clear" w:fill="F3F4F6"/>
      </w:pPr>
      <w:r>
        <w:rPr>
          <w:rFonts w:ascii="Consolas" w:hAnsi="Consolas"/>
          <w:b w:val="0"/>
          <w:i w:val="0"/>
          <w:color w:val="555555"/>
          <w:sz w:val="19"/>
        </w:rPr>
        <w:t>POST /auth  { "cpf": "529.982.247-25" }</w:t>
        <w:br/>
        <w:t xml:space="preserve">  → 200  { accessToken, tokenType: "Bearer", expiresIn: 900 }</w:t>
        <w:br/>
        <w:t xml:space="preserve">  → 400  CPF_INVALIDO           (sem consulta ao banco)</w:t>
        <w:br/>
        <w:t xml:space="preserve">  → 401  AUTENTICACAO_RECUSADA  (CPF sem cadastro, cliente inativo ou bloqueado)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CPF sem cadastro e cadastro sem permissão recebem a mesma resposta, com status 401, cabeçalhos e corpo idênticos. O motivo específico é registrado apenas no log, de modo que o endpoint não permita descobrir quais CPFs estão cadastrados.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subject do token é o UUID do cliente, e não o CPF, para evitar que esse dado apareça nos logs das requisições subsequentes.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i w:val="0"/>
          <w:sz w:val="20"/>
        </w:rPr>
        <w:t>Figura 4 — Sequência de autenticação por CPF e consumo de rota protegida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2563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-autentic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56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color w:val="555555"/>
          <w:sz w:val="20"/>
        </w:rPr>
        <w:t>Fonte: elaborado pelos autores.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3.2 Escolha do gateway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material das disciplinas apresenta três opções de gateway. A comparação entre elas é apresentada a seguir: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Opção</w:t>
            </w:r>
          </w:p>
        </w:tc>
        <w:tc>
          <w:tcPr>
            <w:tcW w:type="dxa" w:w="3402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Pontos favoráveis</w:t>
            </w:r>
          </w:p>
        </w:tc>
        <w:tc>
          <w:tcPr>
            <w:tcW w:type="dxa" w:w="3515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Motivo da não escolha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Azure APIM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Portal do desenvolvedor, políticas e cache prontos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Exigiria trocar de provedor e abandonar a infraestrutura da Fase 2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Kong (open source)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Independente de provedor, plugin JWT com Consumers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Seria executado dentro do cluster que deveria proteger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AWS API Gateway HTTP API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Integração nativa com Lambda, menor custo e latência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Opção escolhida</w:t>
            </w:r>
          </w:p>
        </w:tc>
      </w:tr>
    </w:tbl>
    <w:p>
      <w:pPr>
        <w:spacing w:after="80"/>
      </w:pP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Entre os modos do AWS API Gateway, optou-se pelo HTTP API em razão do custo e da latência. O modo REST API oferece chave de API, throttling por cliente e integração com WAF, recursos que não são exigidos nesta entrega. Caso o rate limiting por cliente se torne um requisito, essa decisão deverá ser revista.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3.3 Rotas fora da autenticação por CPF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Três rotas não passam pela autenticação por CPF: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/>
          <w:i w:val="0"/>
          <w:sz w:val="24"/>
        </w:rPr>
        <w:t xml:space="preserve">GET /api/ordens/{id}/status: </w:t>
      </w:r>
      <w:r>
        <w:rPr>
          <w:rFonts w:ascii="Times New Roman" w:hAnsi="Times New Roman"/>
          <w:b w:val="0"/>
          <w:i w:val="0"/>
          <w:sz w:val="24"/>
        </w:rPr>
        <w:t>consulta do status de uma ordem por identificador opaco.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/>
          <w:i w:val="0"/>
          <w:sz w:val="24"/>
        </w:rPr>
        <w:t xml:space="preserve">Rotas de aprovação externa: </w:t>
      </w:r>
      <w:r>
        <w:rPr>
          <w:rFonts w:ascii="Times New Roman" w:hAnsi="Times New Roman"/>
          <w:b w:val="0"/>
          <w:i w:val="0"/>
          <w:sz w:val="24"/>
        </w:rPr>
        <w:t>recebem a decisão do cliente a partir do link enviado por e-mail e são autenticadas por um token de uso único com validade própria.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Essas rotas são chamadas por um sistema externo que não possui token JWT, e submetê-las ao authorizer inviabilizaria a integração. A decisão está registrada no diagrama de sequência e na especificação do gateway.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As rotas de aprovação externa são protegidas pelo token gerado junto com o orçamento: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1984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Aspecto</w:t>
            </w:r>
          </w:p>
        </w:tc>
        <w:tc>
          <w:tcPr>
            <w:tcW w:type="dxa" w:w="7087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Implementação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Geração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32 bytes de SecureRandom em Base64 URL-safe (256 bits)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Vínculo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armazenado na própria ordem; aceito somente na rota dessa ordem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Validade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168 horas a partir da geração do orçamento, configurável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Uso único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removido da ordem após a aprovação ou a reprovação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Erro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token divergente, expirado ou já utilizado é recusado com 401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Links do e-mail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 GET exibe uma página de confirmação e não altera a ordem; a decisão é registrada pelo POST enviado pela página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Distribuição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enviado apenas no e-mail do cliente; o access log do gateway não registra a query string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Testes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OrdemServicoTest, OrdemServicoUseCasesTest, ReprovarOrcamentoUseCaseTest e OrdemServicoIntegrationTest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3.4 Papéis de acesso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Lambda emite dois papéis, ambos com autenticação por CPF, e a aplicação aplica as permissões correspondentes (ADR-014):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Papel</w:t>
            </w:r>
          </w:p>
        </w:tc>
        <w:tc>
          <w:tcPr>
            <w:tcW w:type="dxa" w:w="2551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Rota de autenticação</w:t>
            </w:r>
          </w:p>
        </w:tc>
        <w:tc>
          <w:tcPr>
            <w:tcW w:type="dxa" w:w="4819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Acesso na aplicação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FUNCIONARIO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POST /auth/funcionarios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todas as rotas de gestão: clientes, veículos, catálogo, estoque, ciclo da OS e relatório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CLIENTE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POST /auth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leitura das próprias ordens de serviço e dos próprios veículos; recursos de outros clientes retornam 404</w:t>
            </w:r>
          </w:p>
        </w:tc>
      </w:tr>
    </w:tbl>
    <w:p>
      <w:pPr>
        <w:spacing w:after="80"/>
      </w:pP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primeiro funcionário de homologação é cadastrado por uma migration, com o CPF informado por um secret do pipeline de infraestrutura, sem registro no repositório.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3.5 Uso de Lambda authorizer em vez do authorizer nativo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JWT authorizer nativo do HTTP API é compatível com OIDC e exige emissor, audiência e um endpoint JWKS com chaves públicas. Ele não valida tokens assinados com HMAC, pois a assinatura simétrica não possui chave pública a ser publicada.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manutenção do HMAC reduziu as alterações no JwtService existente. Como consequência, o segredo é compartilhado entre três componentes; esse ponto está registrado como débito técnico, e a migração para RS256 com JWKS é a evolução prevista.</w:t>
      </w:r>
    </w:p>
    <w:p>
      <w:r>
        <w:br w:type="page"/>
      </w:r>
    </w:p>
    <w:p>
      <w:pPr>
        <w:pStyle w:val="Heading2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8"/>
        </w:rPr>
        <w:t>4. Arquitetura de Nuvem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Figura 5 apresenta o diagrama de contêineres do modelo C4, com os componentes de nuvem, as APIs, o banco de dados e o monitoramento. A fonte versionada está em docs/tech-challenge-3/diagramas/c2-containers.md. As subseções seguintes descrevem as decisões que não estão explícitas no diagrama.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i w:val="0"/>
          <w:sz w:val="20"/>
        </w:rPr>
        <w:t>Figura 5 — Diagrama de contêineres (C4, nível 2)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78218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-contain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821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color w:val="555555"/>
          <w:sz w:val="20"/>
        </w:rPr>
        <w:t>Fonte: elaborado pelos autores.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4.1 Rede privada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Na Fase 2, os nós do cluster e o banco de dados estavam em subnets públicas, protegidos por security groups. O material da disciplina de Serverless (Aula 04) aponta que um banco de dados exposto publicamente representa risco relevante, mesmo com senha forte, e que uma API em subnet pública pode ter o endereço descoberto e ser alvo de ataques.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migração para subnets privadas exigiu definir como os recursos acessariam a internet. Foram avaliadas três opções, com preços de lista em us-east-1 e duas zonas de disponibilidade: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Opção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Cálculo</w:t>
            </w:r>
          </w:p>
        </w:tc>
        <w:tc>
          <w:tcPr>
            <w:tcW w:type="dxa" w:w="2268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US$/mês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NAT Gateway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US$ 0,045/h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~33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VPC interface endpoints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US$ 0,01/h × 4 endpoints × 2 AZs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~58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NAT instance t4g.nano + EIP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US$ 0,0042/h + US$ 0,005/h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~7</w:t>
            </w:r>
          </w:p>
        </w:tc>
      </w:tr>
    </w:tbl>
    <w:p>
      <w:pPr>
        <w:spacing w:after="80"/>
      </w:pP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VPC interface endpoints apresentaram o maior custo, pois são cobrados por endpoint e por zona de disponibilidade. Além disso, não atenderiam à telemetria do New Relic, que é enviada para um endpoint público.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Optou-se pela NAT instance. Como efeito adicional, os nós em subnet privada deixam de utilizar IPv4 público, cobrado pela AWS desde fevereiro de 2024, o que representa uma economia de US$ 7,30 por mês.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NAT instance é um ponto único de falha em uma zona de disponibilidade. Em caso de indisponibilidade, o impacto é a perda de telemetria e a falha no download de imagens, sem indisponibilidade da API.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4.2 Registry de imagens no ECR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Com os nós em subnets privadas, o download de imagens do registry anterior passaria pela NAT instance, que possui banda limitada e poderia se tornar um gargalo durante o escalonamento. Com o ECR e o gateway endpoint de S3, que não tem custo, as camadas das imagens são obtidas pela rede interna da AWS, sem passar pela NAT.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role dos nós já possuía a política AmazonEC2ContainerRegistryReadOnly desde a Fase 2, embora ela não fosse utilizada.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4.3 Caminho até a aplicação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API Gateway acessa o cluster por meio de um VPC Link, que aponta para um Network Load Balancer interno, responsável por encaminhar o tráfego para um NodePort fixo dos nós. O balanceador é criado pelo Terraform, e não por um Service do tipo LoadBalancer, para evitar dependência de ordem de execução entre Terraform e Kubernetes.</w:t>
      </w:r>
    </w:p>
    <w:p>
      <w:r>
        <w:br w:type="page"/>
      </w:r>
    </w:p>
    <w:p>
      <w:pPr>
        <w:pStyle w:val="Heading2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8"/>
        </w:rPr>
        <w:t>5. Estrutura de Repositórios e CI/CD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5.1 Os quatro repositórios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repositório único da Fase 2 foi dividido em quatro. O repositório da aplicação foi mantido com o histórico das fases anteriores, e os outros três foram criados nesta fase a partir do conteúdo transferido.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Repositório</w:t>
            </w:r>
          </w:p>
        </w:tc>
        <w:tc>
          <w:tcPr>
            <w:tcW w:type="dxa" w:w="3118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Conteúdo</w:t>
            </w:r>
          </w:p>
        </w:tc>
        <w:tc>
          <w:tcPr>
            <w:tcW w:type="dxa" w:w="3685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Pipeline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tech-challenge-1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oficina-api: Spring Boot, Dockerfile, testes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build → testes → Sonar (main) → imagem no ECR do ambiente → deploy no EKS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oficina-auth-lambda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SAM Java 21, duas funções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build → testes → verificação do cluster → sam deploy → ARNs no SSM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oficina-infra-k8s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Rede, EKS, ECR, gateway, New Relic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fmt → validate → plan → apply da base; cluster por disparo manual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oficina-infra-db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RDS PostgreSQL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fmt → validate → plan; apply por disparo manual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5.2 Integração entre repositórios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Para reduzir o acoplamento entre os repositórios, a troca de informações foi concentrada no SSM Parameter Store, sob o prefixo /oficina/&lt;ambiente&gt;/. Cada repositório publica seus outputs e consome os dos demais por meio de data sources.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Optou-se pelo SSM em vez de terraform_remote_state para que nenhum repositório precise de permissão de leitura sobre o state de outro.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5.3 Ordem de provisionamento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API Gateway depende do ARN da Lambda para configurar as rotas, e a Lambda depende da rede criada pelo repositório de infraestrutura. A dependência foi resolvida com dois applies do cluster, controlados por variáveis:</w:t>
      </w:r>
    </w:p>
    <w:p>
      <w:pPr>
        <w:spacing w:before="80" w:after="160" w:line="240" w:lineRule="auto"/>
        <w:ind w:left="567"/>
        <w:shd w:val="clear" w:fill="F3F4F6"/>
      </w:pPr>
      <w:r>
        <w:rPr>
          <w:rFonts w:ascii="Consolas" w:hAnsi="Consolas"/>
          <w:b w:val="0"/>
          <w:i w:val="0"/>
          <w:color w:val="555555"/>
          <w:sz w:val="19"/>
        </w:rPr>
        <w:t>0. oficina-infra-k8s   base: ECR e parâmetros; a imagem da aplicação já é publicada</w:t>
        <w:br/>
        <w:t>1. oficina-infra-k8s   cluster, apply 1: rede, EKS e gateway sem as rotas da Lambda</w:t>
        <w:br/>
        <w:t>2. oficina-infra-db    RDS nas subnets privadas</w:t>
        <w:br/>
        <w:t>3. oficina-auth-lambda funções e publicação dos ARNs no SSM</w:t>
        <w:br/>
        <w:t>4. oficina-infra-k8s   cluster, apply 2: rotas da Lambda e manifests da aplicação;</w:t>
        <w:br/>
        <w:t xml:space="preserve">                       o pod é iniciado e o Flyway aplica V6 e V7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manifests da aplicação são aplicados apenas no passo 4, pois dependem do endereço do banco de dados. Até esse passo, a Lambda está implantada, mas não recebe chamadas: sua rota é criada no mesmo apply em que a migration V6 adiciona a coluna de status consultada por ela.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sequência se aplica a cada ambiente, com os workflows disparados na branch correspondente, e a destruição segue a ordem inversa. O workflow de destruição do cluster não prossegue enquanto o banco ou a Lambda do mesmo ambiente existirem. A ordem está documentada no README de cada repositório.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5.4 Ambientes de homologação e produção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enunciado exige deploy automático para homologação e produção. A versão inicial do planejamento previa os dois ambientes em um único cluster e em uma única instância de banco, separados por namespace e database. Essa abordagem tem custo menor, mas não isola falhas: um teste de carga em homologação, por exemplo, consumiria recursos compartilhados com produção.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Considerando que um ambiente declarado em código, com state, pipeline e proteção próprios, não gera custo enquanto não é provisionado, os dois ambientes foram definidos de forma completa e independente (ADR-012):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</w:r>
          </w:p>
        </w:tc>
        <w:tc>
          <w:tcPr>
            <w:tcW w:type="dxa" w:w="3402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Homologação</w:t>
            </w:r>
          </w:p>
        </w:tc>
        <w:tc>
          <w:tcPr>
            <w:tcW w:type="dxa" w:w="3402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Produção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Branch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develop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main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GitHub Environment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staging, sem aprovação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prod, com revisor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Recursos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oficina-api-staging-*, VPC própria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oficina-api-prod-*, VPC própria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State do Terraform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infra-k8s/staging/…, infra-db/staging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infra-k8s/prod/…, infra-db/prod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Parâmetros no SSM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/oficina/staging/…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/oficina/prod/…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Segredos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gerados pelo Terraform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gerados pelo Terraform</w:t>
            </w:r>
          </w:p>
        </w:tc>
      </w:tr>
    </w:tbl>
    <w:p>
      <w:pPr>
        <w:spacing w:after="80"/>
      </w:pP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testes e a demonstração são realizados em homologação. O ambiente de produção está preparado e protegido, com o mesmo código e os mesmos pipelines, mas não foi provisionado, de modo que o custo de operação corresponde ao de um único ambiente.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5.5 Proteção das branches e dos pipelines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 w:val="0"/>
          <w:i w:val="0"/>
          <w:sz w:val="24"/>
        </w:rPr>
        <w:t>branches develop e main protegidas contra push direto, inclusive para administradores;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 w:val="0"/>
          <w:i w:val="0"/>
          <w:sz w:val="24"/>
        </w:rPr>
        <w:t>merge somente por Pull Request, com uma aprovação e status checks aprovados;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 w:val="0"/>
          <w:i w:val="0"/>
          <w:sz w:val="24"/>
        </w:rPr>
        <w:t>aplicação e Lambda implantadas automaticamente após o merge; na infraestrutura, a stack de menor custo (ECR e parâmetros) é aplicada no merge, enquanto cluster e banco são provisionados por disparo manual;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 w:val="0"/>
          <w:i w:val="0"/>
          <w:sz w:val="24"/>
        </w:rPr>
        <w:t>jobs de deploy verificam previamente a existência do ambiente e, na ausência de cluster ou ECR, são ignorados com aviso, sem falha e sem solicitar aprovação;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 w:val="0"/>
          <w:i w:val="0"/>
          <w:sz w:val="24"/>
        </w:rPr>
        <w:t>o workflow de destruição de cada repositório não prossegue fora da ordem de dependências.</w:t>
      </w:r>
    </w:p>
    <w:p>
      <w:r>
        <w:br w:type="page"/>
      </w:r>
    </w:p>
    <w:p>
      <w:pPr>
        <w:pStyle w:val="Heading2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8"/>
        </w:rPr>
        <w:t>6. Banco de Dados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6.1 Justificativa da escolha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Foi mantido o PostgreSQL 16 no Amazon RDS, utilizado desde a Fase 2. As alternativas foram avaliadas na RFC-002.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domínio é relacional, com integridade referencial entre cinco tabelas e junções nas consultas de ordens de serviço. O schema utiliza recursos específicos do PostgreSQL: a extensão pgcrypto, a geração de UUID no servidor, o tipo numérico exato para valores monetários e constraints CHECK que representam invariantes do domínio.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Alternativa</w:t>
            </w:r>
          </w:p>
        </w:tc>
        <w:tc>
          <w:tcPr>
            <w:tcW w:type="dxa" w:w="3402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Pontos favoráveis</w:t>
            </w:r>
          </w:p>
        </w:tc>
        <w:tc>
          <w:tcPr>
            <w:tcW w:type="dxa" w:w="3515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Motivo da não escolha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Amazon DynamoDB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Escala melhor com Lambda, sem limite de conexões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Exigiria desnormalizar e reescrever a camada de persistência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Aurora Serverless v2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Compatível com PostgreSQL, com escala automática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 capacidade mínima custa mais que a instância utilizada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MySQL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 vantagem técnica para o caso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 schema depende de recursos do PostgreSQL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PostgreSQL 16 em RDS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 migração de dados nem reescrita, integridade preservada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Opção escolhida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6.2 Relacionamentos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Figura 6 apresenta o diagrama entidade-relacionamento, cuja fonte versionada está em docs/tech-challenge-3/diagramas/der-modelo-relacional.md. Os relacionamentos são descritos a seguir:</w:t>
      </w:r>
    </w:p>
    <w:p>
      <w:pPr>
        <w:keepNext/>
        <w:spacing w:before="160" w:after="40"/>
        <w:jc w:val="center"/>
      </w:pPr>
      <w:r>
        <w:rPr>
          <w:rFonts w:ascii="Times New Roman" w:hAnsi="Times New Roman"/>
          <w:b/>
          <w:i w:val="0"/>
          <w:sz w:val="20"/>
        </w:rPr>
        <w:t>Figura 6 — Diagrama entidade-relacionamento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6825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-modelo-relacio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82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color w:val="555555"/>
          <w:sz w:val="20"/>
        </w:rPr>
        <w:t>Fonte: elaborado pelos autores.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/>
          <w:i w:val="0"/>
          <w:sz w:val="24"/>
        </w:rPr>
        <w:t xml:space="preserve">Clientes 1—N Veículos: </w:t>
      </w:r>
      <w:r>
        <w:rPr>
          <w:rFonts w:ascii="Times New Roman" w:hAnsi="Times New Roman"/>
          <w:b w:val="0"/>
          <w:i w:val="0"/>
          <w:sz w:val="24"/>
        </w:rPr>
        <w:t>um cliente possui zero ou mais veículos, e cada veículo pertence a um único cliente. A placa é única.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/>
          <w:i w:val="0"/>
          <w:sz w:val="24"/>
        </w:rPr>
        <w:t xml:space="preserve">Ordens de Serviço: </w:t>
      </w:r>
      <w:r>
        <w:rPr>
          <w:rFonts w:ascii="Times New Roman" w:hAnsi="Times New Roman"/>
          <w:b w:val="0"/>
          <w:i w:val="0"/>
          <w:sz w:val="24"/>
        </w:rPr>
        <w:t>a ordem referencia o cliente e o veículo, ainda que o cliente pudesse ser obtido a partir do veículo. A desnormalização é intencional: como a titularidade do veículo pode mudar, a ordem preserva o cliente registrado na abertura.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/>
          <w:i w:val="0"/>
          <w:sz w:val="24"/>
        </w:rPr>
        <w:t xml:space="preserve">Ordem 1—N Itens: </w:t>
      </w:r>
      <w:r>
        <w:rPr>
          <w:rFonts w:ascii="Times New Roman" w:hAnsi="Times New Roman"/>
          <w:b w:val="0"/>
          <w:i w:val="0"/>
          <w:sz w:val="24"/>
        </w:rPr>
        <w:t>relação de composição, na qual os itens não existem sem a ordem. O ON DELETE CASCADE reflete essa relação, que corresponde à fronteira do agregado no domínio.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/>
          <w:i w:val="0"/>
          <w:sz w:val="24"/>
        </w:rPr>
        <w:t xml:space="preserve">Catálogo e Itens: </w:t>
      </w:r>
      <w:r>
        <w:rPr>
          <w:rFonts w:ascii="Times New Roman" w:hAnsi="Times New Roman"/>
          <w:b w:val="0"/>
          <w:i w:val="0"/>
          <w:sz w:val="24"/>
        </w:rPr>
        <w:t>relacionamento N—N resolvido pelas tabelas de itens, que armazenam também a quantidade e o preço vigente no momento da inclusão.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armazenamento do preço no item garante que um orçamento aprovado mantenha o valor original, mesmo que o preço do serviço ou da peça seja alterado posteriormente. A chave estrangeira para o catálogo é mantida para rastreabilidade, e o valor cobrado é obtido do item.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6.3 Invariantes protegidas no banco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As constraints atuam como segunda camada de proteção das regras de domínio, recusando escritas inválidas que não passem pela aplicação. A constraint chk_status restringe os sete estados da ordem; chk_cliente_status, as três situações cadastrais; chk_estoque_nao_negativo impede estoque negativo; e as restrições de unicidade de CPF e placa impedem duplicidade.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6.4 Limitações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instância é Single-AZ, sem failover automático, e a destruição não gera snapshot final. Essas escolhas foram feitas em função do custo em ambiente de estudo, considerando que o ambiente é destruído ao fim de cada sessão de trabalho.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classe utilizada suporta aproximadamente oitenta e cinco conexões simultâneas, o que exigiu atenção, pois a Lambda escala por invocação. Foram adotados teto de dez execuções simultâneas, imposto pelo limite de concorrência da conta e configurável como reserva no template, uma conexão por container de execução mantida em campo estático, sem pool, e timeouts curtos no driver. Caso seja necessário aumentar a concorrência, a alternativa indicada é o RDS Proxy.</w:t>
      </w:r>
    </w:p>
    <w:p>
      <w:r>
        <w:br w:type="page"/>
      </w:r>
    </w:p>
    <w:p>
      <w:pPr>
        <w:pStyle w:val="Heading2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8"/>
        </w:rPr>
        <w:t>7. Observabilidade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7.1 Escolha da plataforma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enunciado permite Datadog ou New Relic, e ambos são abordados pelas disciplinas. Optou-se pelo New Relic porque seu plano gratuito é permanente, com cem gigabytes mensais de ingestão, enquanto o do Datadog é um período de avaliação de catorze dias, o que exigiria sincronizar esse período com a gravação do vídeo.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7.2 Sinais monitorados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118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Requisito</w:t>
            </w:r>
          </w:p>
        </w:tc>
        <w:tc>
          <w:tcPr>
            <w:tcW w:type="dxa" w:w="5953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Implementação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Latência das APIs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Agente Java, transações do APM, percentis p95 e p99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CPU e memória do Kubernetes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Integração Kubernetes por DaemonSet, com filtro por pod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Healthchecks e uptime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Monitor sintético contra /actuator/health, em 3 localizações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Alertas de falha em ordens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Condição NRQL sobre métrica customizada de transição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Logs JSON com correlação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Structured logging do Spring Boot 3.4 (ECS), enviado pelo agente com trace.id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7.3 Logs estruturados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Spring Boot 3.4 oferece structured logging nativo, sem necessidade de biblioteca adicional ou de configuração do logback. Foi adotado o formato ECS na saída do container, com campos padronizados de nível, logger, mensagem e contexto.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envio ao New Relic é feito pelo agente de APM, que anexa a cada linha o trace.id e o span.id da transação em andamento e permite abrir o trace a partir do log. O Fluent Bit da integração Kubernetes permanece desativado: conforme orientação da Aula 08, com os dois mecanismos ativos cada linha seria enviada duas vezes, dobrando o consumo da cota do plano gratuito.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7.4 Dashboards de negócio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três painéis são alimentados por métricas customizadas emitidas pela aplicação, instrumentadas nos casos de uso e não nos controllers: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Painel exigido</w:t>
            </w:r>
          </w:p>
        </w:tc>
        <w:tc>
          <w:tcPr>
            <w:tcW w:type="dxa" w:w="3402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Métrica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Tags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Volume diário de ordens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oficina.os.abertas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origem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Tempo médio por status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oficina.os.duracao_status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status_origem, status_destino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Erros de integração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oficina.integracao.falhas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integracao, motivo</w:t>
            </w:r>
          </w:p>
        </w:tc>
      </w:tr>
    </w:tbl>
    <w:p>
      <w:pPr>
        <w:spacing w:after="80"/>
      </w:pP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Um dashboard técnico complementar apresenta latência por percentil, taxa de erros separada entre 4xx e 5xx, uso de recursos por pod, réplicas ativas do HPA e Apdex. Cada ambiente possui seus próprios dashboards, criados pelo mesmo código e filtrados pelo nome da aplicação e pela tag de ambiente.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7.5 Alertas e runbooks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Foram definidas seis condições de alerta por meio do Terraform, e não pelo console, conforme recomendado na Aula 10, o que evita alterações não documentadas. A nomenclatura segue o padrão apresentado na disciplina, indicando conta, ambiente, recurso, sintoma e severidade:</w:t>
      </w:r>
    </w:p>
    <w:p>
      <w:pPr>
        <w:spacing w:before="80" w:after="160" w:line="240" w:lineRule="auto"/>
        <w:ind w:left="567"/>
        <w:shd w:val="clear" w:fill="F3F4F6"/>
      </w:pPr>
      <w:r>
        <w:rPr>
          <w:rFonts w:ascii="Consolas" w:hAnsi="Consolas"/>
          <w:b w:val="0"/>
          <w:i w:val="0"/>
          <w:color w:val="555555"/>
          <w:sz w:val="19"/>
        </w:rPr>
        <w:t>AWS-OficinaAPI-Staging-OS-FalhaTransicao-Critical</w:t>
        <w:br/>
        <w:t>AWS-OficinaAPI-Staging-API-LatenciaP95-Warning</w:t>
        <w:br/>
        <w:t>AWS-OficinaAPI-Staging-API-TaxaErro5xx-Critical</w:t>
        <w:br/>
        <w:t>AWS-OficinaAPI-Staging-K8s-MemoriaPod-Warning</w:t>
        <w:br/>
        <w:t>AWS-OficinaAPI-Staging-Integracao-Falhas-Warning</w:t>
        <w:br/>
        <w:t>AWS-OficinaAPI-Staging-Health-Uptime-Critical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Cada alerta inclui o link para um runbook, conforme a orientação da Aula 05 de que um alerta deve estar associado a uma ação definida. Os seis runbooks estão em docs/runbooks e descrevem, para cada alerta, o significado, o impacto, o diagnóstico com comandos, a mitigação e o critério de escalonamento.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Nenhuma janela de avaliação é inferior a cinco minutos, para evitar disparos causados por variações momentâneas.</w:t>
      </w:r>
    </w:p>
    <w:p>
      <w:r>
        <w:br w:type="page"/>
      </w:r>
    </w:p>
    <w:p>
      <w:pPr>
        <w:pStyle w:val="Heading2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8"/>
        </w:rPr>
        <w:t>8. Documentação Arquitetural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documentação está versionada em docs/tech-challenge-3, junto ao código da aplicação.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35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Artefato</w:t>
            </w:r>
          </w:p>
        </w:tc>
        <w:tc>
          <w:tcPr>
            <w:tcW w:type="dxa" w:w="1417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Quantidade</w:t>
            </w:r>
          </w:p>
        </w:tc>
        <w:tc>
          <w:tcPr>
            <w:tcW w:type="dxa" w:w="3118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Local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RFCs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docs/tech-challenge-3/rfcs/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ADRs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docs/tech-challenge-3/adrs/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Diagramas C4 (contexto, contêineres, componentes)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docs/tech-challenge-3/diagramas/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Diagramas de sequência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docs/tech-challenge-3/diagramas/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Diagrama ER com explicação dos relacionamentos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docs/tech-challenge-3/diagramas/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Runbooks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docs/runbooks/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8.1 RFC e ADR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material da fase aborda ADR, DAS, HLD, LLD, C4 e requisitos funcionais e não funcionais, mas não trata de RFC, que é exigida pelo enunciado.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Adotou-se a seguinte convenção: a RFC é elaborada antes da decisão e registra a proposta, os comentários dos revisores e sua resolução; a ADR é elaborada após a decisão, registra a conclusão e não é alterada depois de aceita. As três RFCs tratam dos temas indicados no enunciado: escolha da nuvem, do banco de dados e da estratégia de autenticação.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8.2 Ciclo de vida das ADRs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ciclo de vida das ADRs segue o processo apresentado na Aula 05: a ADR é criada com status Proposta, passa por revisão e, quando aceita, não é mais editada. Uma mudança de decisão é registrada em nova ADR, que marca a anterior como Superada.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ADR-011 é retroativa e documenta o uso de HPA, implementado na Fase 2 sem registro. O enunciado cita o HPA como exemplo de decisão a ser documentada, e a elaboração da ADR identificou uma inconsistência: o HPA permitia até quatro réplicas, enquanto o node group estava limitado a três nós. A inconsistência foi corrigida nesta fase.</w:t>
      </w:r>
    </w:p>
    <w:p>
      <w:r>
        <w:br w:type="page"/>
      </w:r>
    </w:p>
    <w:p>
      <w:pPr>
        <w:pStyle w:val="Heading2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8"/>
        </w:rPr>
        <w:t>9. Qualidade de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Prática</w:t>
            </w:r>
          </w:p>
        </w:tc>
        <w:tc>
          <w:tcPr>
            <w:tcW w:type="dxa" w:w="3402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Ferramenta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Execução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Testes unitários e de integração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JUnit 5, AssertJ, Mockito, Testcontainers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mvn verify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Cobertura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JaCoCo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Pipeline, relatório publicado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Análise estática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SonarCloud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Pipeline, a cada merge na main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Vulnerabilidades em dependências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OWASP Dependency-Check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Sob demanda, mvn dependency-check:check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Políticas IAM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IAM Access Analyzer e simulação de policy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Antes de aplicar cada alteração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Formatação e lint de infraestrutura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terraform fmt -check e tflint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Pipeline dos repositórios de infraestrutura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Segurança de infraestrutura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checkov, com supressões justificadas no README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Pipeline dos repositórios de infraestrutura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Contrato da API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docs/openapi.json comparado com a especificação gerada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Pipeline da aplicação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Validação de template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sam validate --lint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Pipeline da Lambda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Camada da aplicação</w:t>
            </w:r>
          </w:p>
        </w:tc>
        <w:tc>
          <w:tcPr>
            <w:tcW w:type="dxa" w:w="1417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Classes</w:t>
            </w:r>
          </w:p>
        </w:tc>
        <w:tc>
          <w:tcPr>
            <w:tcW w:type="dxa" w:w="1417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Métodos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Tipo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Domínio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34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unitário, Java puro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Aplicação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71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unitário, com Mockito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Infraestrutura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unitário (JWT, métricas, notificação)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Integração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Spring completo com PostgreSQL via Testcontainers</w:t>
            </w:r>
          </w:p>
        </w:tc>
      </w:tr>
    </w:tbl>
    <w:p>
      <w:pPr>
        <w:spacing w:after="80"/>
      </w:pP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métodos resultam em cento e quarenta e quatro casos executados, com 91% de cobertura de linhas. O build falha abaixo de 85% de linhas e 70% de branches. O teste de integração executa todas as migrations em um PostgreSQL real e compara a especificação OpenAPI gerada pela aplicação com o arquivo versionado docs/openapi.json. A Lambda possui quarenta e quatro casos de teste, incluindo consultas contra PostgreSQL via Testcontainers. A descrição de cada classe está em docs/testes.md, no repositório da aplicação, e no README da Lambda.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Em todos os repositórios, o pipeline executa os testes ou a validação a cada push, em qualquer branch: mvn verify na aplicação, mvnw verify na Lambda e terraform fmt, validate, tflint e checkov nos repositórios de infraestrutura. Esses jobs são status checks obrigatórios para o merge em develop e main.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9.1 Validação de CPF em dois repositórios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validação de CPF está implementada no value object do domínio da aplicação e na Lambda. A separação em repositórios impede o compartilhamento direto do código, e a publicação de um artefato comum exigiria um pipeline de publicação adicional.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Para evitar divergência entre as duas implementações, o teste da Lambda reproduz os mesmos casos-limite do teste da aplicação: CPF com e sem máscara, dígito verificador inválido, dígitos repetidos e tamanho incorreto. A duplicação está registrada como débito técnico.</w:t>
      </w:r>
    </w:p>
    <w:p>
      <w:r>
        <w:br w:type="page"/>
      </w:r>
    </w:p>
    <w:p>
      <w:pPr>
        <w:pStyle w:val="Heading2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8"/>
        </w:rPr>
        <w:t>10. Segurança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10.1 Medidas adotadas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/>
          <w:i w:val="0"/>
          <w:sz w:val="24"/>
        </w:rPr>
        <w:t xml:space="preserve">Rede privada: </w:t>
      </w:r>
      <w:r>
        <w:rPr>
          <w:rFonts w:ascii="Times New Roman" w:hAnsi="Times New Roman"/>
          <w:b w:val="0"/>
          <w:i w:val="0"/>
          <w:sz w:val="24"/>
        </w:rPr>
        <w:t>nós e banco de dados não possuem IP público; a entrada ocorre pelo API Gateway e a saída, pela NAT instance.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/>
          <w:i w:val="0"/>
          <w:sz w:val="24"/>
        </w:rPr>
        <w:t xml:space="preserve">Validação na borda: </w:t>
      </w:r>
      <w:r>
        <w:rPr>
          <w:rFonts w:ascii="Times New Roman" w:hAnsi="Times New Roman"/>
          <w:b w:val="0"/>
          <w:i w:val="0"/>
          <w:sz w:val="24"/>
        </w:rPr>
        <w:t>requisições sem token válido são rejeitadas no gateway, antes de alcançar o cluster.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/>
          <w:i w:val="0"/>
          <w:sz w:val="24"/>
        </w:rPr>
        <w:t xml:space="preserve">Defesa em profundidade: </w:t>
      </w:r>
      <w:r>
        <w:rPr>
          <w:rFonts w:ascii="Times New Roman" w:hAnsi="Times New Roman"/>
          <w:b w:val="0"/>
          <w:i w:val="0"/>
          <w:sz w:val="24"/>
        </w:rPr>
        <w:t>além do gateway, a aplicação valida o token e mantém as regras de autorização sobre os recursos.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/>
          <w:i w:val="0"/>
          <w:sz w:val="24"/>
        </w:rPr>
        <w:t xml:space="preserve">Gestão de segredos: </w:t>
      </w:r>
      <w:r>
        <w:rPr>
          <w:rFonts w:ascii="Times New Roman" w:hAnsi="Times New Roman"/>
          <w:b w:val="0"/>
          <w:i w:val="0"/>
          <w:sz w:val="24"/>
        </w:rPr>
        <w:t>o segredo do JWT e a senha do banco são gerados pelo Terraform, com valores distintos por ambiente, e armazenados no SSM Parameter Store como SecureString, sem passar pelo GitHub.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/>
          <w:i w:val="0"/>
          <w:sz w:val="24"/>
        </w:rPr>
        <w:t xml:space="preserve">Pipelines com menor privilégio: </w:t>
      </w:r>
      <w:r>
        <w:rPr>
          <w:rFonts w:ascii="Times New Roman" w:hAnsi="Times New Roman"/>
          <w:b w:val="0"/>
          <w:i w:val="0"/>
          <w:sz w:val="24"/>
        </w:rPr>
        <w:t>autenticação por OIDC, com uma role por repositório restrita aos recursos gerenciados por aquele pipeline (ADR-013). A trust policy aceita apenas as branches develop e main e seus respectivos environments.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/>
          <w:i w:val="0"/>
          <w:sz w:val="24"/>
        </w:rPr>
        <w:t xml:space="preserve">Limite de permissões: </w:t>
      </w:r>
      <w:r>
        <w:rPr>
          <w:rFonts w:ascii="Times New Roman" w:hAnsi="Times New Roman"/>
          <w:b w:val="0"/>
          <w:i w:val="0"/>
          <w:sz w:val="24"/>
        </w:rPr>
        <w:t>as roles criadas pelo pipeline da Lambda recebem um permissions boundary, que impede a ampliação das permissões da função pelo próprio pipeline.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/>
          <w:i w:val="0"/>
          <w:sz w:val="24"/>
        </w:rPr>
        <w:t xml:space="preserve">Papéis de acesso: </w:t>
      </w:r>
      <w:r>
        <w:rPr>
          <w:rFonts w:ascii="Times New Roman" w:hAnsi="Times New Roman"/>
          <w:b w:val="0"/>
          <w:i w:val="0"/>
          <w:sz w:val="24"/>
        </w:rPr>
        <w:t>rotas de gestão restritas ao papel FUNCIONARIO; clientes acessam apenas os próprios dados (ADR-014).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b/>
          <w:i w:val="0"/>
          <w:sz w:val="24"/>
        </w:rPr>
        <w:t xml:space="preserve">Proteção do CPF: </w:t>
      </w:r>
      <w:r>
        <w:rPr>
          <w:rFonts w:ascii="Times New Roman" w:hAnsi="Times New Roman"/>
          <w:b w:val="0"/>
          <w:i w:val="0"/>
          <w:sz w:val="24"/>
        </w:rPr>
        <w:t>apenas os três últimos dígitos são registrados em log, e o subject do token é o UUID do usuário.</w:t>
      </w:r>
    </w:p>
    <w:p>
      <w:pPr>
        <w:pStyle w:val="Heading3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10.2 Autenticação por CPF: limitação conhecida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autenticação por CPF segue o que o enunciado especifica. Ela possui, porém, uma limitação conhecida: o CPF é um identificador, e não uma credencial secreta. Em uso real, quem conhecesse o CPF de um cliente conseguiria obter um token em nome dele.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evolução prevista é a adoção de um segundo fator, como um código de uso único enviado por e-mail, aproveitando o serviço de notificação já existente no sistema. Como a mudança do fator de autenticação não faz parte do escopo desta entrega, a melhoria está registrada como débito técnico (DT-06) e planejada para uma etapa futura. A mesma limitação vale para o funcionário, que também se autentica apenas pelo CPF.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As seguintes mitigações foram aplicadas: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685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Mitigação</w:t>
            </w:r>
          </w:p>
        </w:tc>
        <w:tc>
          <w:tcPr>
            <w:tcW w:type="dxa" w:w="5386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Risco reduzido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Resposta 401 idêntica para CPF sem cadastro e cadastro inativo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Enumeração de CPFs cadastrados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Throttling de 10 req/s na rota /auth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Tentativas em volume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Token com validade de 15 minutos, sem refresh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Uso prolongado de um token vazado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CPF fora dos logs e do subject do token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Exposição do CPF por telemetria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8"/>
        </w:rPr>
        <w:t>11. Débitos Técnicos da Fase 3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registro completo, com situação atual, causa raiz, melhoria planejada, justificativa de escopo e impacto de cada item, está em docs/tech-challenge-3/debitos-tecnicos.md. A tabela a seguir resume os débitos: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ID</w:t>
            </w:r>
          </w:p>
        </w:tc>
        <w:tc>
          <w:tcPr>
            <w:tcW w:type="dxa" w:w="5216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Débito</w:t>
            </w:r>
          </w:p>
        </w:tc>
        <w:tc>
          <w:tcPr>
            <w:tcW w:type="dxa" w:w="1417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Prioridade</w:t>
            </w:r>
          </w:p>
        </w:tc>
        <w:tc>
          <w:tcPr>
            <w:tcW w:type="dxa" w:w="1417"/>
          </w:tcPr>
          <w:p>
            <w:pPr>
              <w:spacing w:after="40"/>
              <w:jc w:val="center"/>
              <w:shd w:val="clear" w:fill="E8EDF3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Risco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DT-01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E-mail de orçamento sem detalhamento de itens (herdado da Fase 2)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Baixo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DT-02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Segredo JWT simétrico compartilhado entre três componentes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Médio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DT-03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Revogação de token não imediata (janela de 15 minutos)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Médio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DT-04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NAT instance como ponto único de falha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Baixo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DT-05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Homologação e produção compartilhavam cluster e banco (quitado, ADR-012)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DT-06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Autenticação por CPF sem segundo fator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Alto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DT-07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Tabela refresh_tokens sem uso no schema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Nenhum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DT-08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Validação de CPF duplicada entre repositórios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Médio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DT-09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Ambientes na mesma conta AWS, com role de pipeline compartilhada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Médio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DT-10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Produção preparada e não provisionada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Baixo</w:t>
            </w:r>
          </w:p>
        </w:tc>
      </w:tr>
    </w:tbl>
    <w:p>
      <w:pPr>
        <w:spacing w:after="80"/>
      </w:pP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Cada item foi avaliado quanto ao custo da correção e ao benefício esperado, e está registrado com a respectiva melhoria planejada.</w:t>
      </w:r>
    </w:p>
    <w:p>
      <w:r>
        <w:br w:type="page"/>
      </w:r>
    </w:p>
    <w:p>
      <w:pPr>
        <w:pStyle w:val="Heading2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8"/>
        </w:rPr>
        <w:t>12. Conclusão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Fase 3 teve como objetivo preparar o sistema para operação em ambiente corporativo. Não foram adicionadas regras de negócio; as alterações concentraram-se na segurança, na operação e na visibilidade do sistema.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emissão de tokens foi transferida para uma função serverless protegida por um API Gateway, o que centralizou a identidade em um único emissor. Os nós e o banco de dados passaram a operar em subnets privadas, e a forma de acesso à internet foi definida a partir da comparação de custos entre as alternativas. O repositório único foi dividido em quatro, com pipelines próprios e integração pelo SSM Parameter Store, e os ambientes de homologação e produção foram segregados sem aumento do custo de operação.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No aspecto de observabilidade, o sistema passou a contar com métricas de negócio, logs estruturados correlacionados aos traces e alertas associados a runbooks.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Clean Architecture adotada desde a Fase 1 permitiu que a troca do emissor do token e a inclusão das métricas de negócio fossem realizadas sem alterações nas regras de domínio, com as mudanças concentradas na camada de infraestrutura.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fase foi encerrada com nove débitos técnicos abertos e um quitado. Cada um está registrado com a melhoria planejada e a justificativa do adiamento. O principal deles, a autenticação apenas por CPF, atende ao que o enunciado especifica, conta com mitigações e tem a adoção de um segundo fator prevista para uma etapa futura.</w:t>
      </w:r>
    </w:p>
    <w:p>
      <w:r>
        <w:br w:type="page"/>
      </w:r>
    </w:p>
    <w:p>
      <w:pPr>
        <w:pStyle w:val="Heading2"/>
        <w:keepNext/>
        <w:spacing w:before="240" w:after="160"/>
        <w:jc w:val="left"/>
      </w:pPr>
      <w:r>
        <w:rPr>
          <w:rFonts w:ascii="Times New Roman" w:hAnsi="Times New Roman"/>
          <w:b/>
          <w:i w:val="0"/>
          <w:color w:val="1F3A5F"/>
          <w:sz w:val="28"/>
        </w:rPr>
        <w:t>13. Referências Bibliográficas</w:t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AMAZON WEB SERVICES. ADR Process — Prescriptive Guidance. 2022. Disponível em: https://docs.aws.amazon.com/prescriptive-guidance/latest/architectural-decision-records/. Acesso em: 4 set. 2026.</w:t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AMAZON WEB SERVICES. Criação de uma API HTTP com uma integração privada a um serviço do Amazon ECS. Disponível em: https://docs.aws.amazon.com/pt_br/apigateway/latest/developerguide/http-api-private-integration.html. Acesso em: 4 set. 2026.</w:t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AMAZON WEB SERVICES. What is AWS Lambda? Disponível em: https://docs.aws.amazon.com/lambda/latest/dg/welcome.html. Acesso em: 4 set. 2026.</w:t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BASS, L.; CLEMENTS, P.; KAZMAN, R. Software Architecture in Practice. 3. ed. Boston: Addison-Wesley Professional, 2012.</w:t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BROWN, S. The C4 model for visualizing software architecture. Disponível em: https://c4model.com/. Acesso em: 4 set. 2026.</w:t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GOOGLE. Site Reliability Engineering. Disponível em: https://sre.google/. Acesso em: 4 set. 2026.</w:t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MARTIN, R. C. Arquitetura Limpa: o guia do artesão para estrutura e design de software. Rio de Janeiro: Alta Books, 2019.</w:t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NEW RELIC. Apdex: meça a satisfação do usuário. Disponível em: https://docs.newrelic.com/pt/docs/apm/new-relic-apm/apdex/apdex-measure-user-satisfaction/. Acesso em: 4 set. 2026.</w:t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NEW RELIC. Logs contextualizados APM. Disponível em: https://docs.newrelic.com/pt/docs/logs/logs-context/get-started-logs-context/. Acesso em: 4 set. 2026.</w:t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NEW RELIC. NRQL reference. Disponível em: https://docs.newrelic.com/docs/query-your-data/nrql-new-relic-query-language/. Acesso em: 4 set. 2026.</w:t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NYGARD, M. Documenting Architecture Decisions. 2011. Disponível em: https://cognitect.com/blog/2011/11/15/documenting-architecture-decisions. Acesso em: 4 set. 2026.</w:t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RICHARDS, M.; FORD, N. Fundamentos da Arquitetura de Software: uma abordagem para engenharia de software. Porto Alegre: Bookman, 2020.</w:t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VMWARE. Spring Boot Reference — Structured Logging. Disponível em: https://docs.spring.io/spring-boot/reference/features/logging.html. Acesso em: 4 set. 2026.</w:t>
      </w:r>
    </w:p>
    <w:p>
      <w:pPr>
        <w:spacing w:after="16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FIAP. Material das disciplinas da Fase 3 — Monitoramento e Acesso; Monitoramento e Acesso Avançado; API Gateway; Desenvolvimento Serverless; Documentação de Arquitetura de Soluções. PosTech Arquitetura de Software, 2026.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