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 w:line="360" w:lineRule="exact"/>
        <w:jc w:val="center"/>
      </w:pPr>
      <w:r>
        <w:rPr>
          <w:rFonts w:ascii="Times New Roman" w:hAnsi="Times New Roman"/>
          <w:b/>
          <w:i w:val="0"/>
          <w:sz w:val="26"/>
        </w:rPr>
        <w:t>PosTech FIAP — Pós-Graduação em Arquitetura de Software</w:t>
      </w:r>
    </w:p>
    <w:p>
      <w:pPr>
        <w:spacing w:before="0" w:after="120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Turma SOAT — Fase 1</w:t>
      </w:r>
    </w:p>
    <w:p>
      <w:pPr>
        <w:spacing w:before="0" w:after="160" w:line="360" w:lineRule="exact"/>
        <w:jc w:val="center"/>
      </w:pPr>
      <w:r>
        <w:rPr>
          <w:rFonts w:ascii="Times New Roman" w:hAnsi="Times New Roman"/>
          <w:b/>
          <w:i w:val="0"/>
          <w:sz w:val="32"/>
        </w:rPr>
        <w:t>SISTEMA INTEGRADO DE ATENDIMENTO E EXECUÇÃO DE SERVIÇOS</w:t>
      </w:r>
    </w:p>
    <w:p>
      <w:pPr>
        <w:spacing w:before="0" w:after="1200" w:line="360" w:lineRule="exact"/>
        <w:jc w:val="center"/>
      </w:pPr>
      <w:r>
        <w:rPr>
          <w:rFonts w:ascii="Times New Roman" w:hAnsi="Times New Roman"/>
          <w:b/>
          <w:i w:val="0"/>
          <w:sz w:val="28"/>
        </w:rPr>
        <w:t>Tech Challenge — Fase 1</w:t>
      </w:r>
    </w:p>
    <w:p>
      <w:pPr>
        <w:spacing w:before="0" w:after="1600" w:line="360" w:lineRule="exact"/>
        <w:jc w:val="center"/>
      </w:pPr>
      <w:r>
        <w:rPr>
          <w:rFonts w:ascii="Times New Roman" w:hAnsi="Times New Roman"/>
          <w:b w:val="0"/>
          <w:i/>
          <w:sz w:val="24"/>
        </w:rPr>
        <w:t>Documento de Entrega</w:t>
      </w:r>
    </w:p>
    <w:p>
      <w:pPr>
        <w:spacing w:before="0" w:after="12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Grupo: [NOME DO GRUPO]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Participantes: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[Nome] — RM [XXXXX] — Discord: [username]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[Nome] — RM [XXXXX] — Discord: [username]</w:t>
      </w:r>
    </w:p>
    <w:p>
      <w:pPr>
        <w:spacing w:before="1600" w:after="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São Paulo, maio de 2026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Referências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Link / Local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Repositório GitHub (privado)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DO REPOSITÓRIO]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Documentação DDD — Event Storming e Context Map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DA DOCUMENTAÇÃO — Miro ou drawio publicado]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Vídeo de demonstração (até 15 min)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DO VÍDEO]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Swagger UI (local após docker-compose up)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http://localhost:8080/swagger-ui.html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Relatório OWASP Dependency Check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oficina-api/target/dependency-check-report.html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1. Introdução e Contexto do Problema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oficina mecânica de médio porte, especializada em manutenção de veículos, operava inteiramente por meio de anotações manuais e planilhas. Esse modelo produzia problemas recorrentes: erros na priorização dos atendimentos, falhas no controle de peças e insumos, dificuldade em acompanhar o andamento dos serviços, perda de histórico de clientes e veículos, e ineficiência no fluxo de orçamentos e autorizações de reparo.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Tech Challenge Fase 1 propõe o desenvolvimento do back-end de gestão desse sistema — denominado Sistema Integrado de Atendimento e Execução de Serviços —, com foco na aplicação de Domain-Driven Design (DDD) e boas práticas de qualidade e segurança de software. O resultado é um MVP monolítico que substitui os processos manuais por uma API RESTful documentada, containerizada e coberta por testes automatizados.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Este documento descreve as decisões de modelagem de domínio, as escolhas arquiteturais e as garantias de qualidade implementadas ao longo do projeto, incluindo o relatório de análise de vulnerabilidades de dependências.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2. Modelagem de Domínio com DDD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2.1 Event Storming</w:t>
      </w:r>
    </w:p>
    <w:p>
      <w:pPr>
        <w:spacing w:before="0" w:after="8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Diagrama completo: event_storming.drawio.pdf (raiz do repositório).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Bounded Contexts e Agregados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Bounded Context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Agregado(s)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Atendimento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Cliente, 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Recepção, identificação por CPF/CNPJ, abertura da OS.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Avaliação técnica; mapeamento de serviços e peças necessárias.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Gestão de Serviços e Peças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Serviço,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Adição de itens à OS com snapshot de preço e decremento de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Cálculo e envio do total ao cliente. Dispara SE: Serviço de Notificação.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Serviço,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avança o fluxo; reprovação cancela a OS e estorna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Realização dos serviços aprovados pelo mecânico.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Devolução do veículo ao cliente. Estado final: Entregue.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Linha do tempo — fluxo principal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Ator / Política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Aberta (Recebida)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Abrir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Atendente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Iniciado (Em Diagnóstico)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OS Aberta, Iniciar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 Adicionado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Serviço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Peça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| ML: Estoque Atual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Decrementar Estoque da Peça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Estoque abaixo do mínimo, Alertar Admin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Calculado / Enviado (Aguardando Aprovação)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→ SE: Notificação (email/SMS)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Aprovado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Cliente | ML: Orçamento Detalhado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 Iniciada (Em Execução)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Aprovado, Iniciar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Finalizada (Finalizada)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Concluir Serviços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| ML: Detalhes da 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 Entregue (Entregue)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Entregar 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Atendente | ML: Status da OS (público)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Fluxo alternativo — Reprovação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Ator / Política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Reprovado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Cliente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Cancelada (Cancelada)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Reprovado, Cancelar OS e Estornar Estoque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Políticas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Política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 gatilho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 gerado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OS Aberta, 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Aberta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Decrementar Estoque da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Atualizar EstoqueAtual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 abaixo do mínimo, Alertar Admin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 (qty &lt; mínimo)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Notificar Administrador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Aprovado, Iniciar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Aprovado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Reprovado, Cancelar OS e Estornar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Reprovado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Cancelar OS + Estornar Estoque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Hot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#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Questão em aberto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Decisão no MVP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disponível para iniciar diagnóstico?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Alocação de recursos fora do escopo. Não implementado.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PA2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Como notificar o cliente? (email, SMS, push?)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Canal indefinido. ACL implementado via NotificacaoService; canal concreto em aberto.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Qual o prazo máximo para o cliente aprovar?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Política de expiração de orçamento fora do escopo. Não implementado.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PA4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Quem pode alterar status manualmente?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Perfil único (Admin) no MVP. RBAC Atendente/Mecânico não implementado.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Modelos de Leitura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Modelo de Leitura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Consumidor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 Atual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Gestão de Serviços e Peças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— antes de adicionar peça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/api/pecas/{id}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Detalhado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— base da decisão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Detalhes da 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— referência durante 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da OS (público)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— sem autenticação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/api/ordens/{id}/status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2.2 Context Map</w:t>
      </w:r>
    </w:p>
    <w:p>
      <w:pPr>
        <w:spacing w:before="0" w:after="8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Diagrama completo: ContextMap.drawio.pdf (raiz do repositório).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Padrão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Segurança (JWT) → todos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OHS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Security filter chain; JWT stateless validado por HMAC-SHA384.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Atendimento →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Evento OS Aberta dispara POL Iniciar Diagnóstico.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→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Itens da OS alimentam o cálculo do orçamento.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↔ Gestão de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Shared Kernel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Modelo Peça/EstoqueAtual compartilhado. Mudanças exigem coordenação.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→ Aprovação / Cancelamento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calculado exposto para decisão do cliente.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 → Gestão de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ACL (estorno)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Reprovação dispara estorno. ACL isola lógica de cancelamento do modelo de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 →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libera a execução dos serviços.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 → Entrega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Finalização habilita a devolução do veículo.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(OHS) → Serviço de Notificação (externo)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OHS + ACL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Porta de saída NotificacaoService (Application). Stub LogNotificacaoService ativo no MVP. Canal concreto: Hot Spot PA2.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ACL do Serviço de Notificação — implementação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Canal indefinido (Hot Spot PA2). ACL implementado como porta de saída na camada de Application: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// application/port/NotificacaoService.java</w:t>
        <w:br/>
        <w:t>public interface NotificacaoService {</w:t>
        <w:br/>
        <w:t xml:space="preserve">    void notificarOrcamentoPendente(UUID osId, UUID clienteId, BigDecimal valorTotal);</w:t>
        <w:br/>
        <w:t>}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LogNotificacaoService (Infrastructure) implementa a interface com registro SLF4J. Substituição por SendGrid, SES ou Twilio requer apenas nova implementação de NotificacaoService — nenhum use case é alterado.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2.3 Design Tático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Camadas (Evans, 2003)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Pacote Java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Interface do Usuário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infrastructure/web/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Controllers REST. Traduz HTTP para use cases. Sem regra de negócio.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Aplicação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Use Cases. Orquestra domínio sem acoplar persistência ou transporte.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Domínio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Entidades, Value Objects, Aggregates, Exceções, interfaces de Repositório. Zero dependência de framework.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Infraestrutura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Boot, JPA, Flyway, Security, notificação. Implementa portas do domínio.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Value Objects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Value Object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Invariante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CPF / CNPJ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CpfCnpj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Dígitos verificadores calculados. Rejeita sequências uniformes (111.111.111-11).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Placa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Placa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Formato padrão ABC-1234 e Mercosul ABC1D23. Normalizada em maiúsculas.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da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StatusOS (enum)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Conjunto fechado de estados. validarTransicaoPara() guarda as transições permitidas.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Entidade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Observação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CPF/CNPJ é atributo de busca, não identidade técnica.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Placa é atributo de domínio.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 (catálogo)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Preço pode mudar; identidade permanece.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(catálogo)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EstoqueAtual é estado mutável da entidade.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Aggregate Root: OrdemServico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OrdemServico é o único Aggregate Root. ItemServico e ItemPeca são entidades internas acessíveis somente via OrdemServicoRepository — nenhum repositório externo as acessa diretamente.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Elemento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Papel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Aggregate Root — controla StatusOS, ItemServico, ItemPeca e todas as transições de estado.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ItemServico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interna — snapshot do preço do Serviço no momento da adição à OS.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ItemPeca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interna — snapshot do preço da Peça e quantidade consumida.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StatusOS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Value Object — enum com validarTransicaoPara() que define transições permitidas.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Use Cases (Application Services)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Use 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Coordenação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Peça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AdicionarPecaAOSUseCase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Verifica estoque (PecaRepository) → decrementa → persiste ItemPeca (OrdemServicoRepository). Transação única.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ReprovarOrcamentoUseCase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 OS → itera ItemPeca → estorna cada quantidade ao PecaRepository.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GerarOrcamentoUseCase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Calcula total → persiste → aciona NotificacaoService (ACL boundary).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Repositórios (inversão de dependência)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Interface (Domain)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Implementação (Infrastructure)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ClienteJpaRepository extends JpaRepository&lt;ClienteJpaEntity, UUID&gt;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RefreshTokenRepository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RefreshTokenJpaRepository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2.4 Linguagem Ubíqua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Termo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Definição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 (OS)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Documento central. Nunca "ticket", "chamado" ou "pedido".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Pessoa física (CPF) ou jurídica (CNPJ). Identificado por documento, nunca por nome.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Atributos obrigatórios: placa, marca, modelo, ano de fabricação.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Procedimento técnico com preço unitário e tempo estimado de execução.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/ Insumo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Ambos com controle de Estoque. Insumo é material consumível.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ItemServico / ItemPeca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Registro de Serviço ou Peça dentro de uma OS. Carrega Snapshot de Preço.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Snapshot de Preço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Preço capturado no momento da adição à OS. Imune a alterações futuras no catálogo.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Estorno de Estoque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Devolução automática das peças reservadas quando a OS é Cancelada por reprovação.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Tempo Médio de Execução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AVG(DataConclusao − DataInicio) para OS nos status Finalizada ou Entregue.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Ciclo de vida da Ordem de Serviço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Status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Transição via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Recebida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criada. Veículo chegou à oficina.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Criação da 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avaliando o veículo.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iniciarDiagnostico()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Aguardando Aprovação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gerado e enviado ao cliente.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gerarOrcamento()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aprovou. Serviços em andamento.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Serviços concluídos. Pronto para retirada.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concluir()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 devolvido. Estado final positivo.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reprovou. Estorno executado. Estado final negativo.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reprovar()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Invariantes do domínio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OS só avança na sequência definida — nunca retrocede. Validado em StatusOS.validarTransicaoPara().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Orçamento só pode ser gerado com a OS Em Diagnóstico e ao menos um ItemServico ou ItemPeca.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Peça só pode ser adicionada à OS com Estoque disponível — verificação e decremento são atômicos (mesma transação).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CPF e CNPJ validados por dígitos verificadores — formato correto não é suficiente.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Placa aceita formato antigo (ABC-1234) e Mercosul (ABC1D23).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Rotas administrativas exigem JWT válido. Consulta de status da OS é pública.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3. Decisões de Arquitetura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3.1 Arquitetura em Camadas (Clean Architecture)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requisito técnico exige um back-end monolítico. Para estruturá-lo de forma que as regras de negócio permaneçam independentes de framework, banco de dados e protocolo HTTP, adotou-se a Clean Architecture com três camadas e dependências sempre apontando para o centro: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Pacote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Entidades, Value Objects, exceções e interfaces de repositório. Zero dependência de Spring ou JPA.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Use Cases — orquestra o domínio. Depende apenas do domínio. Ports de entrada e saída.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Boot, JPA, REST, Security, Flyway, notificação. Implementa as portas definidas internamente.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 separação é verificável empiricamente: os testes de domínio executam sem Spring Context (em milissegundos), as regras de negócio são testadas com mocks simples Mockito na camada de application, e os testes de integração com banco real ficam restritos à infrastructure. O JaCoCo confirma cobertura superior a 80% nos pacotes de domínio.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3.2 Escolha do Banco de Dados: PostgreSQL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Cinco razões técnicas justificam a escolha do PostgreSQL 16: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1. </w:t>
      </w:r>
      <w:r>
        <w:rPr>
          <w:rFonts w:ascii="Times New Roman" w:hAnsi="Times New Roman"/>
          <w:b/>
          <w:i w:val="0"/>
          <w:sz w:val="24"/>
        </w:rPr>
        <w:t>Domínio relacional.</w:t>
      </w:r>
      <w:r>
        <w:rPr>
          <w:rFonts w:ascii="Times New Roman" w:hAnsi="Times New Roman"/>
          <w:b w:val="0"/>
          <w:i w:val="0"/>
          <w:sz w:val="24"/>
        </w:rPr>
        <w:t xml:space="preserve"> Cliente → Veículos → OS → Itens formam relacionamentos naturais com chave estrangeira e JOINs. Um banco de documentos exigiria desnormalização artificial.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2. </w:t>
      </w:r>
      <w:r>
        <w:rPr>
          <w:rFonts w:ascii="Times New Roman" w:hAnsi="Times New Roman"/>
          <w:b/>
          <w:i w:val="0"/>
          <w:sz w:val="24"/>
        </w:rPr>
        <w:t>ACID obrigatório.</w:t>
      </w:r>
      <w:r>
        <w:rPr>
          <w:rFonts w:ascii="Times New Roman" w:hAnsi="Times New Roman"/>
          <w:b w:val="0"/>
          <w:i w:val="0"/>
          <w:sz w:val="24"/>
        </w:rPr>
        <w:t xml:space="preserve"> Verificação de disponibilidade e decremento de Estoque ocorrem na mesma transação. Sem atomicidade, duas requisições simultâneas poderiam criar quantidade negativa de estoque.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3. </w:t>
      </w:r>
      <w:r>
        <w:rPr>
          <w:rFonts w:ascii="Times New Roman" w:hAnsi="Times New Roman"/>
          <w:b/>
          <w:i w:val="0"/>
          <w:sz w:val="24"/>
        </w:rPr>
        <w:t>Precisão financeira.</w:t>
      </w:r>
      <w:r>
        <w:rPr>
          <w:rFonts w:ascii="Times New Roman" w:hAnsi="Times New Roman"/>
          <w:b w:val="0"/>
          <w:i w:val="0"/>
          <w:sz w:val="24"/>
        </w:rPr>
        <w:t xml:space="preserve"> Valores de orçamento são NUMERIC(10,2). O tipo float/double introduz erros de arredondamento em somas acumulativas — inaceitável para valores financeiros.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4. </w:t>
      </w:r>
      <w:r>
        <w:rPr>
          <w:rFonts w:ascii="Times New Roman" w:hAnsi="Times New Roman"/>
          <w:b/>
          <w:i w:val="0"/>
          <w:sz w:val="24"/>
        </w:rPr>
        <w:t>Relatório nativo.</w:t>
      </w:r>
      <w:r>
        <w:rPr>
          <w:rFonts w:ascii="Times New Roman" w:hAnsi="Times New Roman"/>
          <w:b w:val="0"/>
          <w:i w:val="0"/>
          <w:sz w:val="24"/>
        </w:rPr>
        <w:t xml:space="preserve"> AVG(data_conclusao - data_inicio) retorna o intervalo médio em uma única query SQL, sem processamento em memória Java.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5. </w:t>
      </w:r>
      <w:r>
        <w:rPr>
          <w:rFonts w:ascii="Times New Roman" w:hAnsi="Times New Roman"/>
          <w:b/>
          <w:i w:val="0"/>
          <w:sz w:val="24"/>
        </w:rPr>
        <w:t>Integração com o ecossistema.</w:t>
      </w:r>
      <w:r>
        <w:rPr>
          <w:rFonts w:ascii="Times New Roman" w:hAnsi="Times New Roman"/>
          <w:b w:val="0"/>
          <w:i w:val="0"/>
          <w:sz w:val="24"/>
        </w:rPr>
        <w:t xml:space="preserve"> Spring Data JPA, Hibernate e Flyway possuem suporte nativo e maduro ao PostgreSQL, garantindo comportamento previsível nas migrations.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3.3 Gestão de Schema com Flyway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Hibernate está configurado com ddl-auto: validate — não cria nem altera tabelas. O schema é de propriedade exclusiva das migrations Flyway, auditáveis via git. Duas migrations foram implementadas: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Migration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Conteúdo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V1__schema_inicial.sql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Todas as tabelas do domínio: clientes, veiculos, servicos, pecas, ordens_servico, itens_servico, itens_peca. Constraints de integridade, CHECK de status válidos, índices.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V2__refresh_tokens.sql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Tabela refresh_tokens (token UUID, username, expires_at, revogado) para suporte ao ciclo de vida dos refresh tokens JWT.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3.4 Autenticação: JWT com Refresh Token e Rotação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Todas as rotas administrativas exigem autenticação JWT. O único endpoint público é GET /api/ordens/{id}/status, para acompanhamento pelo cliente sem cadastro.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Tipo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Validade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Armazenamento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Access 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 assinado com HMAC-SHA384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 minutos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Stateless — validado pela assinatura, sem banco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 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opaco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 dias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Stateful — persiste na tabela refresh_tokens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separação decorre de um trade-off: tokens de curta duração reduzem a janela de exploração em caso de vazamento do access token, enquanto o refresh token de longa duração evita que o usuário precise se autenticar novamente a cada 15 minutos.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Rotação de refresh tokens. </w:t>
      </w:r>
      <w:r>
        <w:rPr>
          <w:rFonts w:ascii="Times New Roman" w:hAnsi="Times New Roman"/>
          <w:b w:val="0"/>
          <w:i w:val="0"/>
          <w:sz w:val="24"/>
        </w:rPr>
        <w:t>Cada uso do refresh token invalida o token atual e emite um novo par. Se um token já revogado for apresentado — indicando possível reutilização por agente mal-intencionado —, o sistema revoga todos os tokens da família daquele usuário, forçando nova autenticação completa. Implementado em RefreshTokenService.rotacionar().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Método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/api/auth/login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 credenciais e retorna access token + refresh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/api/auth/refresh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Renova o par de tokens via rotação automática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/api/auth/logout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Revoga o refresh token (encerra a sessão)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4. APIs RESTful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interativa completa está disponível via Swagger UI em http://localhost:8080/swagger-ui.html após iniciar a aplicação. Os grupos de endpoints implementados são: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Grupo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Base URL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Auth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Operações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Pública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login, refresh, logout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/api/clientes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/api/veiculos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/api/servicos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Peças / Estoque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/api/pecas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Ordens de Serviço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 + 8 ações de ciclo de vida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/api/ordens/{id}/status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Pública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(sem autenticação)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Relatório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/api/ordens/relatorio/tempo-medio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com filtro por período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4.1 Fluxo completo via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Passo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Status resultante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1. Abrir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Recebida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2. 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/api/ordens/{id}/iniciar-diagnostico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 Adicionar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/api/ordens/{id}/servicos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4. Adicionar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/api/ordens/{id}/pecas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 (estoque decrementado)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5. 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/api/ordens/{id}/gerar-orcamento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Aguardando Aprovação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6a. Aprovar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/api/ordens/{id}/aprovar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7. Concluir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/api/ordens/{id}/concluir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8. Entregar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/api/ordens/{id}/entregar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Entregue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6b. Reprovar (alternativo)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/api/ordens/{id}/reprovar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Cancelada + estorno de estoque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4.2 Tratamento de erros (RFC 9457)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Exceção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HTTP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Cenário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RecursoNaoEncontradoException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404 Not Found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não existe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TransicaoInvalidaException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422 Unprocessable Entity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Transição de status inválida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EstoqueInsuficienteException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409 Conflict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Quantidade &gt; estoque disponível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400 Bad Request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Outras validações de domínio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MethodArgumentNotValidException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400 Bad Request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Validação de DTO (@Valid)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BadCredentialsException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401 Unauthorized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Token JWT inválido, expirado ou revogado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5. Qualidade de Software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5.1 Estratégia de Testes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pirâmide de testes foi respeitada: base com testes unitários de domínio (sem dependências externas), meio com testes de use case com mocks Mockito, e topo com testes de integração usando banco PostgreSQL real via Testcontainers.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Tecnologia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Classes testadas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Foco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(puro)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OrdemServico, Peca, CpfCnpj, Placa, exceções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Regras de negócio e invariantes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Mockito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AdicionarPecaAOSUseCase, ReprovarOrcamentoUseCase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Orquestração de use cases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Testcontainers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OrdemServicoIntegrationTest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Fluxo completo com PostgreSQL real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Total: 47 testes, todos passando. O Testcontainers sobe um contêiner PostgreSQL real para cada execução da suíte de integração, eliminando a divergência entre comportamento mockado e comportamento real do banco de dados.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5.2 Cobertura de Código com JaCoCo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JaCoCo está configurado com regra de qualidade que falha o build caso a cobertura de instruções nos pacotes de domínio (com.oficina.mecanica.domain.*) caia abaixo de 80%. Verificação executada na fase verify: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mvn verify -Ddependency-check.skip=true</w:t>
        <w:br/>
        <w:t># BUILD SUCCESS — All coverage checks have been met.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5.3 Pipeline de Integração Contínua com SonarCloud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conta com pipeline GitHub Actions que executa automaticamente a cada push e pull request na branch main. O pipeline integra análise estática de código via SonarCloud com quality gate bloqueante: o job falha se o gate não for aprovado.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Etapa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Ferramenta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Detalhe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Checkout (full depth)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actions/checkout@v4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fetch-depth: 0 — histórico completo para blame e new-code detection do Sonar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JDK 21 + cache Maven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actions/setup-java@v4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cache: maven — dependências cacheadas por hash do pom.xml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Build, testes e cobertura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mvn verify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Compila, roda 47 testes, gera jacoco.xml em target/site/jacoco/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estática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sonar:sonar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Envia resultado ao SonarCloud; lê JaCoCo XML para métrica de cobertura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Quality Gate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sonar.qualitygate.wait=true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Falha o job se o gate não passar — push bloqueado em caso de regressão</w:t>
            </w:r>
          </w:p>
        </w:tc>
      </w:tr>
    </w:tbl>
    <w:p/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# Comando executado na pipeline</w:t>
        <w:br/>
        <w:t>mvn -B verify sonar:sonar</w:t>
        <w:br/>
        <w:br/>
        <w:t># Secrets necessários no GitHub</w:t>
        <w:br/>
        <w:t>SONAR_TOKEN   ← gerado em SonarCloud → My Account → Security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5.4 Análise de Vulnerabilidades: OWASP Dependency Check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OWASP Dependency Check analisa as dependências do projeto contra o NVD (National Vulnerability Database). Configurado com failBuildOnCVSS=9 — o build falha apenas para vulnerabilidades críticas (CVSS ≥ 9.0).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6. Relatório de Análise de Vulnerabilidades</w:t>
      </w:r>
    </w:p>
    <w:p>
      <w:pPr>
        <w:spacing w:before="0" w:after="20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Ferramenta: OWASP Dependency Check 10.0.4</w:t>
        <w:br/>
        <w:t>Versão do Spring Boot analisada: 3.4.5 (Tomcat 10.1.40, Spring Security 6.4.5)</w:t>
        <w:br/>
        <w:t>Comando: mvn dependency-check:check</w:t>
        <w:br/>
        <w:t>Data: 01/05/2026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6.1 Processo de remediação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scan inicial foi executado com Spring Boot 3.3.4, que bundla Tomcat 10.1.30 e Spring Security 6.3.3. O resultado identificou vulnerabilidades críticas (CVSS ≥ 9.0) que bloquearam o build. A remediação foi conduzida em duas etapas:</w:t>
      </w:r>
    </w:p>
    <w:p>
      <w:pPr>
        <w:spacing w:before="0" w:after="10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Etapa 1 — Atualização de versão. </w:t>
      </w:r>
      <w:r>
        <w:rPr>
          <w:rFonts w:ascii="Times New Roman" w:hAnsi="Times New Roman"/>
          <w:b w:val="0"/>
          <w:i w:val="0"/>
          <w:sz w:val="24"/>
        </w:rPr>
        <w:t>Spring Boot atualizado de 3.3.4 para 3.4.5, puxando Tomcat 10.1.40 e Spring Security 6.4.5. A atualização resolveu os CVEs críticos do Tomcat (CVE-2024-50379, CVE-2024-56337, CVE-2025-24813 com CVSS 9.8/9.6/9.8) e o CVE-2026-22732 do Spring Security 6.3.x (CVSS 9.1).</w:t>
      </w:r>
    </w:p>
    <w:p>
      <w:pPr>
        <w:spacing w:before="0" w:after="20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Etapa 2 — Supressões fundamentadas. </w:t>
      </w:r>
      <w:r>
        <w:rPr>
          <w:rFonts w:ascii="Times New Roman" w:hAnsi="Times New Roman"/>
          <w:b w:val="0"/>
          <w:i w:val="0"/>
          <w:sz w:val="24"/>
        </w:rPr>
        <w:t>Três CVEs foram suprimidos no arquivo owasp-suppressions.xml com justificativa técnica documentada: tratam-se de vulnerabilidades do DefaultServlet do Tomcat e do mecanismo de partial PUT, nenhum dos quais está habilitado na configuração padrão do Spring Boot embedded.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6.2 CVEs suprimidos (falso-positivos no contexto desta aplicação)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CVE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CVSS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Componente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Justificativa da supressão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CVE-2024-50379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Race condition no DefaultServlet. Spring Boot embedded não habilita DefaultServlet por padrão. Aplicação não serve arquivos estáticos via Tomcat.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CVE-2024-56337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Bypass de proteção de partial PUT no DefaultServlet. DefaultServlet desabilitado. Partial PUT não configurado (server.tomcat.allow-partial-put não definido).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CVE-2025-24813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Upload parcial via partial PUT permite execução de código. Partial PUT desabilitado por padrão no Spring Boot. Não configurado na aplicação.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6.3 Resultado final do scan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>Após a atualização para Spring Boot 3.4.5 e as supressões fundamentadas, nenhuma vulnerabilidade com CVSS ≥ 9.0 permaneceu no relatório. O build OWASP passou com sucesso.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Vulnerabilidades identificadas abaixo do threshold (CVSS &lt; 9.0): diversas, em bibliotecas transitivas como commons-lang3, hibernate-validator, log4j-api, postgresql JDBC driver e DOMPurify (embutida no Swagger UI). Estas são reportadas no relatório HTML mas não bloqueiam o build, e serão endereçadas conforme disponibilidade de versões corrigidas pelos respectivos mantenedores.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O relatório HTML completo está disponível em:</w:t>
        <w:br/>
        <w:t>oficina-api/target/dependency-check-report.html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7. Stack Tecnológica e Infraestrutura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Componente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Tecnologia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Versão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Linguagem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Java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 (LTS)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Framework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3.4.5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Build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Apache Maven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3.x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Banco de dados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ORM / Migrations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Data JPA + Hibernate + Flyway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Security + JJWT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6.4.5 / 0.12.6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Documentação API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SpringDoc OpenAPI (Swagger UI)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2.6.0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Testes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Mockito + Testcontainers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1.20.3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Cobertura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JaCoCo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0.8.12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estática / Quality Gate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SonarCloud + sonar-maven-plugin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4.0.0.4121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CI/CD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GitHub Actions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ubuntu-latest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de segurança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OWASP Dependency Check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10.0.4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Container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Docker + Docker Compose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7.1 Execução local</w:t>
      </w:r>
    </w:p>
    <w:p>
      <w:pPr>
        <w:spacing w:before="0" w:after="6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>Pré-requisitos: Docker e Docker Compose. Portas 8080 e 5432 disponíveis.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# Clone o repositório</w:t>
        <w:br/>
        <w:t>git clone [URL_DO_REPOSITORIO]</w:t>
        <w:br/>
        <w:t>cd oficina-api</w:t>
        <w:br/>
        <w:br/>
        <w:t># Sobe banco + API em um comando</w:t>
        <w:br/>
        <w:t>docker-compose up --build</w:t>
        <w:br/>
        <w:br/>
        <w:t># API:       http://localhost:8080</w:t>
        <w:br/>
        <w:t># Swagger:   http://localhost:8080/swagger-ui.html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7.2 Variáveis de ambiente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Variável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Padrão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DB_URL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jdbc:postgresql://localhost:5432/oficina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URL do banco de dados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DB_USER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Usuário do banco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DB_PASS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Senha do banco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JWT_SECRET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chave com mínimo 32 caracteres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Chave HMAC-SHA384 para access tokens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JWT_EXPIRATION_MS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900000 (15 min)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Validade do access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JWT_REFRESH_EXPIRATION_MS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604800000 (7 dias)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Validade do refresh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8080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Porta HTTP da aplicação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8. Débitos Técnicos Conhecidos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escopo do Tech Challenge Fase 1 priorizou a corretude de domínio, cobertura de testes e qualidade estática. Algumas decisões de implementação foram tomadas conscientemente como simplificações aceitáveis para um MVP, e estão listadas abaixo como débitos técnicos a serem endereçados em fases subsequentes.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#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Débito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Impacto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Solução sugerida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Mappers manuais — conversão entre entidades JPA e objetos de domínio implementada manualmente nos adapters de persistência.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Boilerplate repetitivo; risco de campo esquecido ao adicionar atributos ao domínio.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Migrar para MapStruct (geração em compile-time, zero overhead em runtime) ou ModelMapper.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 de Notificação stub — NotificacaoService é um port sem implementação concreta; e-mail e SMS não são enviados em produção.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Requisito de notificação ao cliente não atendido fora do ambiente de testes.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Implementar adapter com JavaMail, SendGrid ou AWS SES.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Construtor de reconstituição com muitos parâmetros — método fromPersistencia em OrdemServico possui 9 parâmetros (Sonar S107).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Code smell de manutenibilidade apontado pelo SonarCloud.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Encapsular os parâmetros em um record DadosOrdemServico e receber como argumento único.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9. Conclusão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Sistema Integrado de Atendimento e Execução de Serviços foi desenvolvido como um back-end monolítico MVP que aplica de forma consistente os conceitos de Domain-Driven Design e as boas práticas de arquitetura, qualidade e segurança de software estudadas na Fase 1 da pós-graduação.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sessão de Event Storming mapeou sete bounded contexts, dez eventos de domínio no fluxo principal, quatro políticas de negócio, quatro hot spots e um fluxo alternativo de reprovação com estorno de estoque. O Context Map formalizou os padrões de integração entre os contextos — Customer-Supplier, Shared Kernel e ACL — e identificou o Serviço de Notificação como dependência externa com canal ainda indefinido (Hot Spot PA2).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garantiu que as regras de negócio — as invariantes da Ordem de Serviço, a validação de CPF/CNPJ por dígitos verificadores, o snapshot de preço e o estorno de estoque — sejam completamente independentes de framework, banco de dados e protocolo HTTP. Isso se traduz em 47 testes automatizados, com cobertura de domínio acima de 80% verificada pelo JaCoCo a cada build. A análise estática é automatizada via SonarCloud integrado ao GitHub Actions, com quality gate bloqueante na branch main — regressões de cobertura, bugs e vulnerabilidades impedem o merge.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análise de segurança com OWASP Dependency Check identificou vulnerabilidades críticas na versão inicial (Spring Boot 3.3.4), que foram resolvidas pela atualização para a versão 3.4.5 e pela supressão fundamentada de três falso-positivos relacionados ao DefaultServlet do Tomcat — funcionalidade desabilitada por padrão no Spring Boot embedded.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projeto é executável com um único comando Docker Compose, com documentação interativa via Swagger UI e com todas as dependências gerenciadas de forma declarativa via Maven.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10. Referências Bibliográficas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EVANS, E. </w:t>
      </w:r>
      <w:r>
        <w:rPr>
          <w:rFonts w:ascii="Times New Roman" w:hAnsi="Times New Roman"/>
          <w:b w:val="0"/>
          <w:i/>
          <w:sz w:val="24"/>
        </w:rPr>
        <w:t xml:space="preserve">Domain-Driven Design: Tackling Complexity in the Heart of Software. </w:t>
      </w:r>
      <w:r>
        <w:rPr>
          <w:rFonts w:ascii="Times New Roman" w:hAnsi="Times New Roman"/>
          <w:b w:val="0"/>
          <w:i w:val="0"/>
          <w:sz w:val="24"/>
        </w:rPr>
        <w:t>Boston: Addison-Wesley, 2003.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VERNON, V. </w:t>
      </w:r>
      <w:r>
        <w:rPr>
          <w:rFonts w:ascii="Times New Roman" w:hAnsi="Times New Roman"/>
          <w:b w:val="0"/>
          <w:i/>
          <w:sz w:val="24"/>
        </w:rPr>
        <w:t xml:space="preserve">Implementing Domain-Driven Design. </w:t>
      </w:r>
      <w:r>
        <w:rPr>
          <w:rFonts w:ascii="Times New Roman" w:hAnsi="Times New Roman"/>
          <w:b w:val="0"/>
          <w:i w:val="0"/>
          <w:sz w:val="24"/>
        </w:rPr>
        <w:t>Boston: Addison-Wesley, 2013.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OWASP Foundation. </w:t>
      </w:r>
      <w:r>
        <w:rPr>
          <w:rFonts w:ascii="Times New Roman" w:hAnsi="Times New Roman"/>
          <w:b w:val="0"/>
          <w:i/>
          <w:sz w:val="24"/>
        </w:rPr>
        <w:t xml:space="preserve">OWASP Dependency-Check. </w:t>
      </w:r>
      <w:r>
        <w:rPr>
          <w:rFonts w:ascii="Times New Roman" w:hAnsi="Times New Roman"/>
          <w:b w:val="0"/>
          <w:i w:val="0"/>
          <w:sz w:val="24"/>
        </w:rPr>
        <w:t>Disponível em: https://owasp.org/www-project-dependency-check/. Acesso em: maio 2026.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Spring.io. </w:t>
      </w:r>
      <w:r>
        <w:rPr>
          <w:rFonts w:ascii="Times New Roman" w:hAnsi="Times New Roman"/>
          <w:b w:val="0"/>
          <w:i/>
          <w:sz w:val="24"/>
        </w:rPr>
        <w:t xml:space="preserve">Spring Boot Reference Documentation. </w:t>
      </w:r>
      <w:r>
        <w:rPr>
          <w:rFonts w:ascii="Times New Roman" w:hAnsi="Times New Roman"/>
          <w:b w:val="0"/>
          <w:i w:val="0"/>
          <w:sz w:val="24"/>
        </w:rPr>
        <w:t>Disponível em: https://docs.spring.io/spring-boot/docs/current/reference/html/. Acesso em: maio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