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60" w:before="1200" w:after="80"/>
        <w:jc w:val="center"/>
        <w:rPr/>
      </w:pPr>
      <w:r>
        <w:rPr>
          <w:b/>
          <w:i w:val="false"/>
          <w:sz w:val="26"/>
        </w:rPr>
        <w:t>PosTech FIAP — Pós-Graduação em Arquitetura de Software</w:t>
      </w:r>
    </w:p>
    <w:p>
      <w:pPr>
        <w:pStyle w:val="Normal"/>
        <w:spacing w:lineRule="exact" w:line="360" w:before="0" w:after="1200"/>
        <w:jc w:val="center"/>
        <w:rPr/>
      </w:pPr>
      <w:r>
        <w:rPr>
          <w:b w:val="false"/>
          <w:i w:val="false"/>
          <w:sz w:val="24"/>
        </w:rPr>
        <w:t>Turma SOAT — Fase 1</w:t>
      </w:r>
    </w:p>
    <w:p>
      <w:pPr>
        <w:pStyle w:val="Normal"/>
        <w:spacing w:lineRule="exact" w:line="360" w:before="0" w:after="160"/>
        <w:jc w:val="center"/>
        <w:rPr/>
      </w:pPr>
      <w:r>
        <w:rPr>
          <w:b/>
          <w:i w:val="false"/>
          <w:sz w:val="32"/>
        </w:rPr>
        <w:t>SISTEMA INTEGRADO DE ATENDIMENTO E EXECUÇÃO DE SERVIÇOS</w:t>
      </w:r>
    </w:p>
    <w:p>
      <w:pPr>
        <w:pStyle w:val="Normal"/>
        <w:spacing w:lineRule="exact" w:line="360" w:before="0" w:after="1200"/>
        <w:jc w:val="center"/>
        <w:rPr/>
      </w:pPr>
      <w:r>
        <w:rPr>
          <w:b/>
          <w:i w:val="false"/>
          <w:sz w:val="28"/>
        </w:rPr>
        <w:t>Tech Challenge — Fase 1</w:t>
      </w:r>
    </w:p>
    <w:p>
      <w:pPr>
        <w:pStyle w:val="Normal"/>
        <w:spacing w:lineRule="exact" w:line="360" w:before="0" w:after="1600"/>
        <w:jc w:val="center"/>
        <w:rPr>
          <w:rFonts w:ascii="Times New Roman" w:hAnsi="Times New Roman"/>
          <w:b w:val="false"/>
          <w:i/>
          <w:i/>
          <w:sz w:val="24"/>
        </w:rPr>
      </w:pPr>
      <w:r>
        <w:rPr>
          <w:b w:val="false"/>
          <w:i/>
          <w:sz w:val="24"/>
        </w:rPr>
        <w:t>Documento de Entrega</w:t>
      </w:r>
    </w:p>
    <w:p>
      <w:pPr>
        <w:pStyle w:val="Normal"/>
        <w:spacing w:lineRule="exact" w:line="360" w:before="0" w:after="1600"/>
        <w:jc w:val="center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</w:rPr>
      </w:r>
    </w:p>
    <w:p>
      <w:pPr>
        <w:pStyle w:val="Normal"/>
        <w:spacing w:lineRule="exact" w:line="360" w:before="0" w:after="80"/>
        <w:jc w:val="center"/>
        <w:rPr/>
      </w:pPr>
      <w:r>
        <w:rPr>
          <w:b/>
          <w:i w:val="false"/>
          <w:sz w:val="24"/>
        </w:rPr>
        <w:t>Participantes:</w:t>
      </w:r>
    </w:p>
    <w:p>
      <w:pPr>
        <w:pStyle w:val="Normal"/>
        <w:spacing w:lineRule="exact" w:line="360" w:before="0" w:after="80"/>
        <w:jc w:val="center"/>
        <w:rPr/>
      </w:pPr>
      <w:r>
        <w:rPr>
          <w:b w:val="false"/>
          <w:i w:val="false"/>
          <w:sz w:val="24"/>
        </w:rPr>
        <w:t>Danilo Canato — RM 372411 — Discord: @canatodanilo</w:t>
      </w:r>
    </w:p>
    <w:p>
      <w:pPr>
        <w:pStyle w:val="Normal"/>
        <w:spacing w:lineRule="exact" w:line="360" w:before="0" w:after="80"/>
        <w:jc w:val="center"/>
        <w:rPr/>
      </w:pPr>
      <w:r>
        <w:rPr>
          <w:b w:val="false"/>
          <w:i w:val="false"/>
          <w:sz w:val="24"/>
        </w:rPr>
        <w:t>Guilherme Fumagali Marques — RM 372421 — Discord: @gfumagali</w:t>
      </w:r>
    </w:p>
    <w:p>
      <w:pPr>
        <w:pStyle w:val="Normal"/>
        <w:spacing w:lineRule="exact" w:line="360" w:before="1600" w:after="0"/>
        <w:jc w:val="center"/>
        <w:rPr/>
      </w:pPr>
      <w:r>
        <w:rPr>
          <w:b w:val="false"/>
          <w:i w:val="false"/>
          <w:sz w:val="24"/>
        </w:rPr>
        <w:t>São Paulo, maio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Referências de Entrega</w:t>
      </w:r>
    </w:p>
    <w:tbl>
      <w:tblPr>
        <w:tblStyle w:val="TableGrid"/>
        <w:tblW w:w="9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5"/>
        <w:gridCol w:w="4534"/>
      </w:tblGrid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Item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Link / Local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Repositório GitHub (privado)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/>
            </w:pPr>
            <w:hyperlink r:id="rId2">
              <w:r>
                <w:rPr>
                  <w:rStyle w:val="Hyperlink"/>
                  <w:rFonts w:eastAsia="ＭＳ 明朝" w:cs=""/>
                  <w:b w:val="false"/>
                  <w:i w:val="false"/>
                  <w:kern w:val="0"/>
                  <w:sz w:val="22"/>
                  <w:szCs w:val="22"/>
                  <w:lang w:val="en-US" w:eastAsia="en-US" w:bidi="ar-SA"/>
                </w:rPr>
                <w:t>https://github.com/Guilherme-Fumagali/tech-challenge-1</w:t>
              </w:r>
            </w:hyperlink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Documentação DDD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/>
            </w:pPr>
            <w:r>
              <w:fldChar w:fldCharType="begin"/>
            </w:r>
            <w:r>
              <w:rPr>
                <w:rStyle w:val="Hyperlink"/>
                <w:sz w:val="22"/>
                <w:i w:val="false"/>
                <w:b w:val="false"/>
                <w:kern w:val="0"/>
                <w:szCs w:val="22"/>
                <w:rFonts w:eastAsia="ＭＳ 明朝" w:cs=""/>
                <w:lang w:val="en-US" w:eastAsia="en-US" w:bidi="ar-SA"/>
              </w:rPr>
              <w:instrText xml:space="preserve"> HYPERLINK "https://app.diagrams.net/?title=context_map.drawio&amp;dark=auto" \l "R%3Cmxfile%3E%3Cdiagram%20name%3D%22P%C3%A1gina-1%22%20id%3D%22e1_JwT2PwA60rlvI6Bu3%22%3E3Vxbd5s4EP41Pid9SA8gro%2B%2B4LbbZtOzbk7P7htrFFunGLGySJz%2B%2Bh1xM7e4mCDcxG0pDALEfPONNCOJCZrvDh%2BYF21vqI%2BDiab4hwlaTDRNNQ0E%2FwnJUyqxzUywYcTPCh0FK%2FITZ0Ilk8bEx%2FtKQU5pwElUFa5pGOI1r8g8xuhjtdg9DapPjbwNbghWay9oSr8Tn2%2Bzt9Cso%2FwjJptt%2FmTVdNIzOy8vnL3Jfuv59LEkQu4EzRmlPN3bHeY4EMrL9ZJet3zmbFExhkPe5YLZt8%2B7T%2FMdDp0o%2Blv75xob1vfrlrtkoj1%2FynXA8QHOzbZ8F4BAgd09Z%2FQHntOAMpCENISSs3sSBDWRF5BNCIdruDsG%2BewBM05Au9PsxI74fpBcTEOeoa%2Fa%2BXFWBRWO00o9eEGcVWoOBUS9NOXGi2A7cbWJrUwcHfZXZM%2FxzhNmh2Fze0%2FWJBSHN3g9maPJVAuhEtktoUb4UHr1THsfMN1hzp6gyLYEMDLSyx6PxmApGcLZXVB%2B%2FFQ1ZS8zxU1x5yNasJMBdgZ42u8Inpod5zebgMqSXxuIdwI4safcRVAt7O1g9%2BqeMuAy9il7J84nfxdFyQV9DI9lgff7GCpSLjudfylKT0NOrueUsTjihIYg%2BeI9wdvkZW8%2FroqytxEWBT7SvTCrFWYPZI17WUnO%2BZKVODUr0WpWohuSrAR1sRJG49DHfka2xy3heBV5a3H2ERx71YDKtgLwunN3uVQbhgVnkKVb%2BrJmIKiF3c9aVsNiVngTMy9MWGwBhU14jCoqdTWNObyg4HVyLtkiClf%2F8f3bu14oWk0UC2SzuxioiqIti%2Bu6bBQrWJXk98nvWbdRAlbp4rYTvvVhlNbAQtcrUJjQbpShMG1JUBiyoVgul8htempBNdNQFWVQQk2BNT6BV%2BR0MJLUXJ1d5YiGZJHElO7q7KXhOm3IaK61QNqgyCyIt0kc3Qzt4RJp8KDR8LEuh486M1xtWOZ8wNBPKFqZpKfp7jn9L%2B7XZ3DOR0rXZCFlS0cKLbXlohUpwzTmwyJ1y7L%2BglQ3Z47GI0d%2BC%2BTOXLcNnbkJwa89bAsUMfrQ6LUJDR17d3MvXONALn7OaPjlEaFEAJFrLI02AM2pOnOmgwLoHvA6ruEnxwHWIZLnANVOmZEXQTRzHddqg2i2RKYyHxaiECLmTb%2BURw%2FqmNJyHmqnpMeLcLFns0VrH8K2FbcRzmo1XLQzw1n2QFLq5J2Iwuf9STm5b8azx4gXHzhmIe0X3HZgW71Bk8i2LEmB%2FUY2tgkzjdkan7gZapgDRDhTkQuGIypyPGgGkiUJ2jNi5WDY9%2Fbbwo7SYnka%2BBjeco9tMD9RI6MdDgYtGicP1TceXrf6m9ateVHdGm9at%2FZFdWu%2Bad06F9Wt9aZ1a11Ut%2FaAujVO6fbfgK5%2FVJTbmoUvkoZVfWqvxcd2inZ7DHPV86ltSe9f5bcbY2SNHt5dr96Z1kx356J8%2FMhGlc6ZpsvKd2udotV%2BAFTSpnIAWEgCABnGWACoA3oUcwCPUqDW26NctGeRA%2FlKDVqWRzHG8yidxqT7AVBJH78uj2KO51GGjAntATxKgVpvj3LR%2FrTWaUz4tzVoWR7FHs%2BjdBr67QdAZcjjdXkUZzyPMmRE6QzgUQrUensUVWmHYCSX0mkI9re1aFkuRVXM6jQfpCBZCEgMPCujcK%2FLpzQRcKRNXVQGdCr5kNSLvEqBW3%2Bv8gwI43gVJGvC9zg2PZpX0R1ZXgVJDD4rA8ev3KsYtjSvMuRgY690isd4vUgiPBkh5RPYenuei2bFUacJzP0XK5yy7JZ0TKHNhoGvtlBDH2SfMQvFYqbjeHs2u6%2FfeHvLwhEV1ab3ObXxdksaBYYct5TcW68MCY1k6sml8AreU6lAREnI96U7fxWCUvqmBl8%2BW%2FMIVHrHI2xF1V6ApKzAtx%2BvChwbvEoW5ZTmrgCXes9dQc25K3Zt6sp4VBoy8B0ilVbMUurfRdUu2lJIDHwrM7j6dJAaZj3gehZUXc9i6fVAV1buBsmfTzwVf9qsdZr8WjTf0HQvNat201WY9TVcY81d1GUNpNYWbAb4ntc0qnax5W8kotC%2BpUsZ%2FgKyrwkNXzDnumUVpFbr8ph13cuycf2cMdSXuN%2F0d8L91kz6F%2FbbYr6nNWicsN5%2B3Zr2ByyfKa5qJ8vL6QXpsoLqXzOr1VfNY%2Bje7DC7XsVRFBARSk8nyUcKRB3ETN%2B4tN75TixdzhY9C%2Fp5fkJDL5kRXFntvHj3flJbAS0WQMOjRHn4N%2F36Kbmo9IT3Q3WxDKNqebZZBVqX5jfPCdgvH4hLJvipvMggBM8e0Jng1fKSCC45fXAuwetZgoTePiX7EsvT%2FR1UmZNgm5A1Fpud%2BEgKTU8mgiKxIMh9E%2FvF8nZxB3wgG5wSnTIfh9XlAKORW1r8pJ%2BTihgvxSCXxNaplRRDkDh%2FQFcS18pLIrHkXMW5JE6%2FE3L1zCdC3jXa7EpbzJnnxz9BD57vRVy0vbTMbb%2FWyMM7izIRoxxvku%2BP7HGcCNIV3hEjx%2BuHY7V5ktWWvFDnnKzIaBPHJZPakNwy5w%2FoTGpjjJZZVrqmJ6nTD%2FpctX7Lp0lpfIgS%2Fhk4aZ2PXeh8bb%2F6kHzQLOmX03UsgmEgPBwly%2Fxh6wWwx7KOePolIqENmgTR8d5jYzXRVo8vCMHh8QNkqUUcP%2BOG3P8B%3C%2Fdiagram%3E%3C%2Fmxfile%3E"</w:instrText>
            </w:r>
            <w:r>
              <w:rPr>
                <w:rStyle w:val="Hyperlink"/>
                <w:sz w:val="22"/>
                <w:i w:val="false"/>
                <w:b w:val="false"/>
                <w:kern w:val="0"/>
                <w:szCs w:val="22"/>
                <w:rFonts w:eastAsia="ＭＳ 明朝" w:cs=""/>
                <w:lang w:val="en-US" w:eastAsia="en-US" w:bidi="ar-SA"/>
              </w:rPr>
              <w:fldChar w:fldCharType="separate"/>
            </w:r>
            <w:r>
              <w:rPr>
                <w:rStyle w:val="Hyperlink"/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</w:t>
            </w:r>
            <w:r>
              <w:rPr>
                <w:rStyle w:val="Hyperlink"/>
                <w:sz w:val="22"/>
                <w:i w:val="false"/>
                <w:b w:val="false"/>
                <w:kern w:val="0"/>
                <w:szCs w:val="22"/>
                <w:rFonts w:eastAsia="ＭＳ 明朝" w:cs=""/>
                <w:lang w:val="en-US" w:eastAsia="en-US" w:bidi="ar-SA"/>
              </w:rPr>
              <w:fldChar w:fldCharType="end"/>
            </w:r>
            <w:r>
              <w:rPr>
                <w:rStyle w:val="Hyperlink"/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rStyle w:val="Hyperlink"/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n</w:t>
            </w:r>
            <w:r>
              <w:rPr>
                <w:rStyle w:val="Hyperlink"/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</w:t>
            </w:r>
            <w:r>
              <w:rPr>
                <w:rStyle w:val="Hyperlink"/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rStyle w:val="Hyperlink"/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x</w:t>
            </w:r>
            <w:r>
              <w:rPr>
                <w:rStyle w:val="Hyperlink"/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 xml:space="preserve">t </w:t>
            </w:r>
            <w:r>
              <w:rPr>
                <w:rStyle w:val="Hyperlink"/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</w:t>
            </w:r>
            <w:r>
              <w:rPr>
                <w:rStyle w:val="Hyperlink"/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rStyle w:val="Hyperlink"/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</w:t>
            </w:r>
          </w:p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b w:val="false"/>
                <w:i w:val="false"/>
                <w:i w:val="false"/>
                <w:kern w:val="0"/>
                <w:sz w:val="22"/>
                <w:szCs w:val="22"/>
                <w:lang w:val="en-US" w:eastAsia="en-US" w:bidi="ar-SA"/>
              </w:rPr>
            </w:pPr>
            <w:r>
              <w:fldChar w:fldCharType="begin"/>
            </w:r>
            <w:r>
              <w:rPr>
                <w:rStyle w:val="Hyperlink"/>
                <w:sz w:val="22"/>
                <w:i w:val="false"/>
                <w:b w:val="false"/>
                <w:kern w:val="0"/>
                <w:szCs w:val="22"/>
                <w:rFonts w:eastAsia="ＭＳ 明朝" w:cs=""/>
                <w:lang w:val="en-US" w:eastAsia="en-US" w:bidi="ar-SA"/>
              </w:rPr>
              <w:instrText xml:space="preserve"> HYPERLINK "https://app.diagrams.net/?title=event_storming.drawio&amp;dark=auto" \l "R%3Cmxfile%3E%3Cdiagram%20id%3D%22KKLQk1odyYkDrwO0e7eM%22%20name%3D%22P%C3%A1gina-1%22%3E5V1dc5s4F%2F41meletMO38SXGOLszSeOts323V%2B8QUG12MXgxTp3%2B%2BpVAYBA4IUJH%2BdhctEZgjJ%2FnHOl8yhe6uz1eZv5uc52GKL7QlPB4oc8vNE2dGib%2Bj4w80BFFpSPrLArp2GlgFf1E1YV09BCFaN%2B6ME%2FTOI927cEgTRIU5K0xP8vSH%2B3Lvqdx%2B1N3%2Fpp%2BonIaWAV%2BjDqX%2FS8K8005qitK4%2FJfUbTeVB9dn9n61dV0YL%2Fxw%2FRHY0j3LnQ3S9O8fLU9uigm8FXAlO9bnDlbP1mGknzIG66U7jvoTfb5Q%2FWFc3TE52abfBvjAQW%2F3OdZ%2Bjdy0zjN8EiSJvjK2fcojpkhP47WCT6M0Xdyh3uU5REG0qHD2ygM4%2BKtaZJTolW1OqYPQI7LR7r34wN9pCvv0vs8d%2Bg4vi06Np6eftlLlG5Rnj3gSzYNPjQqbj9O5NkUh2Nb0ioJ1ajwUMFZ1%2Fc9QYtfUHTPIN3DTRfpLD0kIQrpt%2F6xiXK02vkBOfsDa1ObhCbeF5q%2BWMywDFLwGuNK8XeWtAbyymMUdSi4MGfe1wsTv1S8e%2FydUqLTCP8zT7dREqVc3OhKhxvVbJMzNdvkKALI0aDJ0SzXwuI6kpw%2BDtzreUmCm279JBQHu9aGXTMBcNfhlWKhTqzBuOMzs5nj1Gr0FPjObYm9k%2BO3CwJ%2B2sZdtwFwN6Bxd72pPrch5H15c1VivkzjiExVwgRebQNvQABvDgJ%2Bk27vDnsOYXdmU3UE6NNzmDsV5I1p3slREvh8842hdeE32vBbSht%2BUwD6FrTYO%2BbcciYQYn9Npb6wp2sOrlCUHzJxKlDZ5vQuE4g5fwI%2B5xv2YjZGDc6SsPJKElbRPkdbn1g%2BxxxlibhFV2dsHdYSFUGADb%2Fozk1j8bxF17Z7F90nHQGyCF%2FSRXidobUPZwGpignAxhSUDSrcHcDN4m8A4KG%2F39QfPNw5cPFtsNdIJqo5iqNtlIskhpmmVNUGIEYV4htjrO3ir5%2BYx%2BDXeuV94jYdrmV0n%2BZ%2BDCbyui5%2BBZi5sL7wOZn3LFPtTDLaUzLPzGH1TVhdyNNdH1%2FESgqjbUkXj6WkdlmqXeDqNgxHmhCSYH3icyRp3mSuayNJqm8ykKR55K%2BTdI8vhSNJ7wSVhLAE60GfY0k1LdMdq0r1TQaydIn2uV%2BbviuU3WO%2B9vglOVyiAAMpiryp2iaPdUYEkQfrhp8jz3LU2dQZSV59k4Hk3WSBL3YWNHR2FtRBNGyYyy6aJNfSbM0eSVJ9k6GL1S5L7%2F3CqVcIQpri%2BkmA4hHMmUaXOdNmmJtOQJiDdffPMWc4qmG7I5mrbzKQOe%2BIggN3NKZHu0wmJYLnQJApEDYacI6j2UK3lLEc1TcZylGSEwdVnIXBqJFmGwBq5FxKyFy9SLzAjSP8hRAXH73xY5vRmDYZhi2CDFir%2FOXI%2BIqi4BALCxEYTNJQZUM3YtiQkL96ETZushBtGUtbFDX2tK0nlgqiKOAprndIjcGGf0x9AsENeB7mhbghTqgoLnSGC5uNcU6FLO7w2Zj3pyZ2lb6s%2FZcpwOqy%2FPpMw0t5Njd1ZPp8zLqLMZf5qvQIeAtDXbHbEIpI%2BC6%2FPtNcetMQWooOAeEzbZw3DaFqagaDoYBZdvn1mcbIK8bQVLvVk6ryiYFxaoFo8zPthlcMY58oMu6jrQNgeA1fhwpfA%2BPt8%2FSfQ1mDdOBMfpo9YsxaXEw82TAEzAXX8LWm8AQ0gvnKHOV%2BvOHN7vfSwEaHmUK8ulp7HA%2Fgvjs8DyX2iOTAQlKNdLOCIkEzTBASwL10eBJWuZ8fWhQoH4I02R%2FinAzsDndxFPi%2FCGNG70R9mcC8CMdw5cFHfeHL9Cq3r%2FQCP6d59B1TUea3PqCtH%2BGvvFhdr8SRwxSxqhM2ayKCnOUNODkS6rd%2FP5TtCqXKOHcYfKwvpLrptyQKIj8jE9zIwowBFGkKQFxleQO%2ByktgaI6CDJF1vuDiZHUVEx13rGuI2iiM6YV9WxGkgC%2F5Ekg50eDf%2BdGxmN3IP6TnapuWCuTERJkIaU6Ix6FoYkOSglh6D80p9eRWllSEKTuzjUrY93LDmAUqhMEGXLkpp1HOucuiTLC1zPRsMXohYkmRYJAJaSDtg77qE22t9MoHajnrDj74ggJ0F4UC7WQ2lzUBIAW4SFaOPsCaW6xqaKZ4GjxwGuB1o4U95aRYQVpq4m3bl4Kpi2EB8ARcrSxp%2BQgxNWlSKMzJwxQdfmGaIbX25KWbIrRGQvUKtNacCKhoCeHZmFiTT6Z4PoDLweVrR%2BkiApPBtkgKoSKZ325v58vF%2Bq%2Brz%2FnS%2FGioW%2F0j7dRDYbU9zCMWWXrIAnqVZ3Q4JLeoChkoyMEhu69Zbaew0izfpGuMaXyVksrS4pK%2FUJ4%2FUFb8Q56eeCdn8fNkD3%2FS9xcH38jBJ7M6nB%2BbJ%2BcPlbww5bB77EVWA3Zxddg4Kr8XvmSN8kdwm%2FTznKHYz6P7Npaj5jMJJV%2FQ8xlVmXoyg9efTlermLkMtmtCzlx2ibJiHhvXuzKEA9OAsIrBOZDgMTYyja4fB4dYaKaRocFiM41CaJBQ7SiTBi%2B5p55JkUepq%2BjbjoqzPvhZ2AqCBT6cu6LaEH4lcAeRJIusAB9oHnsiVa%2BLCDp6EmpUZSrQKSQMw8JpQCQLwJ1askNdwuPvLAkakxwRowoS9m6BVoUT8lWUqxMMLqJc1XUC1wy2poWNqgjRE3CKpOwlmATxIWqEuPh664ewYFoQigK7rY68bMkiwn5%2F9LNHSU5n4DRkokBoCDg3EjSENvMSDRnTujiEBJvN5IpJJw7a3uh1a0iNPKWjLIt4xCupLoPTmOkUgCznVkLyV9JGqQg%2FInfXdZcAZrdUJsmr60LQ194J%2Btco8BPuRrgnwbeYnKFe6cI49N%2FLJsHA6E%2FZOK6YmUdCUF0K%2BqN2e%2BgBn5n3FcaXMITsvXErIYT7NmWfgZ%2FdoEsQ%2FBJCt2902WVt1Cm78AqY%2Bn9DrvEH%2BuPXP4P%2Fb%2F%2B5QuhudXf%2Fka4Gz83CLp0ucc007CnJ6p1GRSZiT7nXb81zZxKx5bM2U6tlqZmENGqN1BvdpPw01ShhtN%2BlCQYnLr8O8aGjOgQYNiqu9AWXZkye7s9hC96EzExLZ5hJ%2Blo5clNSqq4ktCOHsEGOA7pGEzbqBh1SN726XpUvdoc9xnnB57%2F1scVuJTxholF1o67wiUzlncj0l5jIuhOS456BHGBGGuYCvFZp%2F71oUi4kfJf5P4tuDf9YdGtUs1JT%2BjFYNGUncFbqdD0x3oIxgZJzjVfOH6%2Bbkrxgn5booQu248lbsYc5aa9XP4qtenZp0abpxzmtu9lXnbVbP8EqtK3XBiCdsJiUXd3zPMqJeBc9M1%2FQC1YRmCKyDs67aKBplBFQSiTWEYjh4Z11LzdoIAYq3TC5UBSSvyMzGmnZzJJ2E60gytiuP3aXXjGUvYs2J4YZIJ1hawoEzV3gBEhKZ1MSutns%2BgRcao4tNBBDza2E6rT3GCC3hERov3zhdKPdLkcoCR3y88D46C5Og78LGz9cRHHlG3RwLv96rX9PlnOMIeD0sDxgCKRFLDEEnFHhamEDkwKJEBicUgAMQdnzKQcCk1MKeiJqQqVAIgQWpxQAQ1D2NsqBYMIpBT3xJqFSIBECzlbFqmsLDAJTHgRVfduzNQEaA0siBpzGUdWyBDYbyMSA0zpygTHwZLXFEgw4zaOq8wZMDmRiwGkfucAYlC0dkjDgNJCqthMwOZCJAaeF5AJjUHYsSMKA00SquirEYTDi%2B9K3LtMIP%2FH5anlDqTfrqO5Swk7fyABXP8lgLG1OeRKOJRuAUCQKFO%2FeGCJCEPZMUWb4ydo%2F1tZFhCYeJMVkOM3POjsiBRKZIZrqNiL2TwGUEZmIcJqmQsyy4YhI9Fs13urOG5lCItNs1TjN1vqHHkYhUv%2BQ9lOIyJQRTiO2%2FuUFOYhIdHE1TpO2%2Fg0EOYhINPI1XgNXhNNv24pX%2FOLZE4CspOaIOM1UIYi4Ls1UthBBxyhvVNrho2%2BNM6c6O3LwSJnd6DLU4q34G%2FkPjQt2xDvYN%2B7M%2BBmqzRQpGTS7vDjnmCjMr%2FMyb8AvymcY4YtonGa4IyQb2s9yD2My5V7ntMMdIa7JYEik%2BiY6pyXuiHFOBoMiNYHMaYs7QlLIw1VHFiS9Ozly2qK99%2BpZV6B3xXze7pbV8qQ2FqfTUtW%2FPPHuu9ljLY1NlZ1ZttidBnW1Ex4rqRMRHnuM%2BLdcytbeq7vcLOfC1S%2BceZie3wUPfxq5ZlJW8MJthaezmyCA7YjLm2M9v03sf3ibXFkO42Pgv%2BkC32pDpOyC9nYSdZvpoD9noGoQO7P3UiRh67e3uRUAywi78R7HPhj4MEvTvLnwYfQ212mIyBX%2FAg%3D%3D%3C%2Fdiagram%3E%3C%2Fmxfile%3E"</w:instrText>
            </w:r>
            <w:r>
              <w:rPr>
                <w:rStyle w:val="Hyperlink"/>
                <w:sz w:val="22"/>
                <w:i w:val="false"/>
                <w:b w:val="false"/>
                <w:kern w:val="0"/>
                <w:szCs w:val="22"/>
                <w:rFonts w:eastAsia="ＭＳ 明朝" w:cs=""/>
                <w:lang w:val="en-US" w:eastAsia="en-US" w:bidi="ar-SA"/>
              </w:rPr>
              <w:fldChar w:fldCharType="separate"/>
            </w:r>
            <w:r>
              <w:rPr>
                <w:rStyle w:val="Hyperlink"/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Event Storming</w:t>
            </w:r>
            <w:r>
              <w:rPr>
                <w:rStyle w:val="Hyperlink"/>
                <w:sz w:val="22"/>
                <w:i w:val="false"/>
                <w:b w:val="false"/>
                <w:kern w:val="0"/>
                <w:szCs w:val="22"/>
                <w:rFonts w:eastAsia="ＭＳ 明朝" w:cs="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Vídeo de demonstração (até 15 min)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hyperlink r:id="rId3">
              <w:r>
                <w:rPr>
                  <w:rStyle w:val="Hyperlink"/>
                  <w:rFonts w:eastAsia="ＭＳ 明朝" w:cs=""/>
                  <w:b w:val="false"/>
                  <w:i w:val="false"/>
                  <w:kern w:val="0"/>
                  <w:sz w:val="22"/>
                  <w:szCs w:val="22"/>
                  <w:lang w:val="en-US" w:eastAsia="en-US" w:bidi="ar-SA"/>
                </w:rPr>
                <w:t>tech_challenge_video.mkv</w:t>
              </w:r>
            </w:hyperlink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Swagger UI (local após docker-compose up)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http://localhost:8080/swagger-ui.html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Relatório OWASP Dependency Check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oficina-api/target/dependency-check-report.html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1. Introdução e Contexto do Problema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Uma oficina mecânica de médio porte, especializada em manutenção de veículos, operava inteiramente por meio de anotações manuais e planilhas. Esse modelo produzia problemas recorrentes: erros na priorização dos atendimentos, falhas no controle de peças e insumos, dificuldade em acompanhar o andamento dos serviços, perda de histórico de clientes e veículos, e ineficiência no fluxo de orçamentos e autorizações de reparo.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Tech Challenge Fase 1 propõe o desenvolvimento do back-end de gestão desse sistema — denominado Sistema Integrado de Atendimento e Execução de Serviços —, com foco na aplicação de Domain-Driven Design (DDD) e boas práticas de qualidade e segurança de software. O resultado é um MVP monolítico que substitui os processos manuais por uma API RESTful documentada, containerizada e coberta por testes automatizados.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Este documento descreve as decisões de modelagem de domínio, as escolhas arquiteturais e as garantias de qualidade implementadas ao longo do projeto, incluindo o relatório de análise de vulnerabilidades de dependências.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2. Modelagem de Domínio com DDD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2.1 Event Storming</w:t>
      </w:r>
    </w:p>
    <w:p>
      <w:pPr>
        <w:pStyle w:val="Normal"/>
        <w:spacing w:lineRule="exact" w:line="360" w:before="0" w:after="80"/>
        <w:jc w:val="both"/>
        <w:rPr/>
      </w:pPr>
      <w:r>
        <w:rPr>
          <w:b w:val="false"/>
          <w:i/>
          <w:sz w:val="24"/>
        </w:rPr>
        <w:t>Diagrama completo: event_storming.drawio.pdf.</w:t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Bounded Contexts e Agregados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Bounded Context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Agregado(s)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Responsabilidade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Atendimento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Cliente, Veículo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Recepção, identificação por CPF/CNPJ, abertura da OS.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Diagnóstico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 de Serviço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Avaliação técnica; mapeamento de serviços e peças necessárias.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Gestão de Serviços e Peças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 de Serviço, Peça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Adição de itens à OS com snapshot de preço e decremento de estoque.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 de Serviço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Cálculo e envio do total ao cliente. Dispara SE: Serviço de Notificação.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Aprovação / Cancelamento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 de Serviço, Peça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Aprovação avança o fluxo; reprovação cancela a OS e estorna estoque.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Execução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 de Serviço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Realização dos serviços aprovados pelo mecânico.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Entrega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 de Serviço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Devolução do veículo ao cliente. Estado final: Entregue.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Linha do tempo — fluxo principal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Evento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Comando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Ator / Política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OS Aberta (Recebida)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Abrir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AT: Atendente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Diagnóstico Iniciado (Em Diagnóstico)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Iniciar Diagnóstico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POL: Quando OS Aberta, Iniciar Diagnóstico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Serviço Adicionado à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Adicionar Serviço à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AT: Mecânico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Peça Adicionada à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Adicionar Peça à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AT: Mecânico | ML: Estoque Atual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POL: Decrementar Estoque da Peça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POL: Estoque abaixo do mínimo, Alertar Admin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Calculado / Enviado (Aguardando Aprovação)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Gerar Orçamento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AT: Mecânico → SE: Notificação (email/SMS)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Aprovado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Aprovar Orçamento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AT: Cliente | ML: Orçamento Detalhado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Execução Iniciada (Em Execução)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Iniciar Execução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POL: Quando Aprovado, Iniciar Execução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OS Finalizada (Finalizada)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Concluir Serviços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AT: Mecânico | ML: Detalhes da OS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Veículo Entregue (Entregue)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Entregar Veículo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AT: Atendente | ML: Status da OS (público)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Fluxo alternativo — Reprovação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Evento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Comando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Ator / Política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Reprovado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Reprovar Orçamento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AT: Cliente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OS Cancelada (Cancelada)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Cancelar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POL: Quando Reprovado, Cancelar OS e Estornar Estoque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Políticas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Política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Evento gatilho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Comando gerado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Quando OS Aberta, Iniciar Diagnóstico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OS Aberta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Iniciar Diagnóstico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Decrementar Estoque da Peça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Peça Adicionada à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Atualizar EstoqueAtual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Estoque abaixo do mínimo, Alertar Admin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Peça Adicionada à OS (qty &lt; mínimo)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Notificar Administrador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Quando Aprovado, Iniciar Execução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Aprovado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Iniciar Execução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Quando Reprovado, Cancelar OS e Estornar Estoque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Reprovado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Cancelar OS + Estornar Estoque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Hot Spots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2268"/>
        <w:gridCol w:w="2268"/>
        <w:gridCol w:w="2267"/>
      </w:tblGrid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#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Questão em aberto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Contexto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Decisão no MVP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PA1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Mecânico disponível para iniciar diagnóstico?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Diagnóstico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Alocação de recursos fora do escopo. Não implementado.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PA2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Como notificar o cliente? (email, SMS, push?)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Canal indefinido. ACL implementado via NotificacaoService; canal concreto em aberto.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PA3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Qual o prazo máximo para o cliente aprovar?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Aprovação / Cancelamento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Política de expiração de orçamento fora do escopo. Não implementado.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PA4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Quem pode alterar status manualmente?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Execução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Perfil único (Admin) no MVP. RBAC Atendente/Mecânico não implementado.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Modelos de Leitura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2268"/>
        <w:gridCol w:w="2268"/>
        <w:gridCol w:w="2267"/>
      </w:tblGrid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Modelo de Leitura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Contexto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Consumidor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Endpoint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Estoque Atual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Gestão de Serviços e Peças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Mecânico — antes de adicionar peça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 /api/pecas/{id}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Detalhado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Aprovação / Cancelamento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 — base da decisão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 /api/ordens/{id}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Detalhes da OS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Execução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Mecânico — referência durante execução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 /api/ordens/{id}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Status da OS (público)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Entrega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 — sem autenticação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 /api/ordens/{id}/status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2.2 Context Map</w:t>
      </w:r>
    </w:p>
    <w:p>
      <w:pPr>
        <w:pStyle w:val="Normal"/>
        <w:spacing w:lineRule="exact" w:line="360" w:before="0" w:after="80"/>
        <w:jc w:val="both"/>
        <w:rPr/>
      </w:pPr>
      <w:r>
        <w:rPr>
          <w:b w:val="false"/>
          <w:i/>
          <w:sz w:val="24"/>
        </w:rPr>
        <w:t>Diagrama completo: ContextMap.drawio.pdf.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Contextos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Padrão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Implementação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Segurança (JWT) → todos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OHS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Spring Security filter chain; JWT stateless validado por HMAC-SHA384.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Atendimento → Diagnóstico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Customer-Supplier (U→D)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Evento OS Aberta dispara POL Iniciar Diagnóstico.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Diagnóstico → Orçamento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Customer-Supplier (U→D)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Itens da OS alimentam o cálculo do orçamento.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Diagnóstico ↔ Gestão de Estoque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Shared Kernel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Modelo Peça/EstoqueAtual compartilhado. Mudanças exigem coordenação.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→ Aprovação / Cancelamento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Customer-Supplier (U→D)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calculado exposto para decisão do cliente.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Aprovação / Cancelamento → Gestão de Estoque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ACL (estorno)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Reprovação dispara estorno. ACL isola lógica de cancelamento do modelo de estoque.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Aprovação / Cancelamento → Execução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Customer-Supplier (U→D)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Aprovação libera a execução dos serviços.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Execução → Entrega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Customer-Supplier (U→D)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Finalização habilita a devolução do veículo.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(OHS) → Serviço de Notificação (externo)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OHS + ACL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Porta de saída NotificacaoService (Application). Stub LogNotificacaoService ativo no MVP. Canal concreto: Hot Spot PA2.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ACL do Serviço de Notificação — implementação</w:t>
      </w:r>
    </w:p>
    <w:p>
      <w:pPr>
        <w:pStyle w:val="Normal"/>
        <w:spacing w:lineRule="exact" w:line="360" w:before="0" w:after="120"/>
        <w:jc w:val="both"/>
        <w:rPr/>
      </w:pPr>
      <w:r>
        <w:rPr>
          <w:b w:val="false"/>
          <w:i w:val="false"/>
          <w:sz w:val="24"/>
        </w:rPr>
        <w:t>Canal indefinido (Hot Spot PA2). ACL implementado como porta de saída na camada de Application:</w:t>
      </w:r>
    </w:p>
    <w:p>
      <w:pPr>
        <w:pStyle w:val="Normal"/>
        <w:spacing w:before="80" w:after="80"/>
        <w:ind w:left="850"/>
        <w:jc w:val="left"/>
        <w:rPr/>
      </w:pPr>
      <w:r>
        <w:rPr>
          <w:rFonts w:ascii="Courier New" w:hAnsi="Courier New"/>
          <w:sz w:val="20"/>
        </w:rPr>
        <w:t>// application/port/NotificacaoService.java</w:t>
        <w:br/>
        <w:t>public interface NotificacaoService {</w:t>
        <w:br/>
        <w:t xml:space="preserve">    void notificarOrcamentoPendente(UUID osId, UUID clienteId, BigDecimal valorTotal);</w:t>
        <w:br/>
        <w:t>}</w:t>
      </w:r>
    </w:p>
    <w:p>
      <w:pPr>
        <w:pStyle w:val="Normal"/>
        <w:spacing w:lineRule="exact" w:line="360" w:before="0" w:after="120"/>
        <w:jc w:val="both"/>
        <w:rPr/>
      </w:pPr>
      <w:r>
        <w:rPr>
          <w:b w:val="false"/>
          <w:i w:val="false"/>
          <w:sz w:val="24"/>
        </w:rPr>
        <w:t>LogNotificacaoService (Infrastructure) implementa a interface com registro SLF4J. Substituição por SendGrid, SES ou Twilio requer apenas nova implementação de NotificacaoService — nenhum use case é alterado.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2.3 Design Tático</w:t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Camadas (Evans, 2003)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Camada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Pacote Java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Responsabilidade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Interface do Usuário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infrastructure/web/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Controllers REST. Traduz HTTP para use cases. Sem regra de negócio.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application/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Use Cases. Orquestra domínio sem acoplar persistência ou transporte.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Domínio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domain/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Entidades, Value Objects, Aggregates, Exceções, interfaces de Repositório. Zero dependência de framework.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Infraestrutura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infrastructure/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Spring Boot, JPA, Flyway, Security, notificação. Implementa portas do domínio.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Value Objects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Value Object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Classe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Invariante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CPF / CNPJ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CpfCnpj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Dígitos verificadores calculados. Rejeita sequências uniformes (111.111.111-11).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Placa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Placa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Formato padrão ABC-1234 e Mercosul ABC1D23. Normalizada em maiúsculas.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Status da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StatusOS (enum)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Conjunto fechado de estados. validarTransicaoPara() guarda as transições permitidas.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Entities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Entidade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Classe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Observação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UUID id. CPF/CNPJ é atributo de busca, não identidade técnica.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Veículo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Veiculo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UUID id. Placa é atributo de domínio.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Serviço (catálogo)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Servico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UUID id. Preço pode mudar; identidade permanece.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Peça (catálogo)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Peca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UUID id. EstoqueAtual é estado mutável da entidade.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Aggregate Root: OrdemServico</w:t>
      </w:r>
    </w:p>
    <w:p>
      <w:pPr>
        <w:pStyle w:val="Normal"/>
        <w:spacing w:lineRule="exact" w:line="360" w:before="0" w:after="120"/>
        <w:jc w:val="both"/>
        <w:rPr/>
      </w:pPr>
      <w:r>
        <w:rPr>
          <w:b w:val="false"/>
          <w:i w:val="false"/>
          <w:sz w:val="24"/>
        </w:rPr>
        <w:t>OrdemServico é o único Aggregate Root. ItemServico e ItemPeca são entidades internas acessíveis somente via OrdemServicoRepository — nenhum repositório externo as acessa diretamente.</w:t>
      </w:r>
    </w:p>
    <w:tbl>
      <w:tblPr>
        <w:tblStyle w:val="TableGrid"/>
        <w:tblW w:w="9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5"/>
        <w:gridCol w:w="4534"/>
      </w:tblGrid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Papel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OrdemServico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Aggregate Root — controla StatusOS, ItemServico, ItemPeca e todas as transições de estado.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ItemServico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Entidade interna — snapshot do preço do Serviço no momento da adição à OS.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ItemPeca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Entidade interna — snapshot do preço da Peça e quantidade consumida.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StatusOS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Value Object — enum com validarTransicaoPara() que define transições permitidas.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Use Cases (Application Services)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Use Case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Classe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Coordenação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Adicionar Peça à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AdicionarPecaAOSUseCase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Verifica estoque (PecaRepository) → decrementa → persiste ItemPeca (OrdemServicoRepository). Transação única.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Reprovar Orçamento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ReprovarOrcamentoUseCase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Cancela OS → itera ItemPeca → estorna cada quantidade ao PecaRepository.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Gerar Orçamento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GerarOrcamentoUseCase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Calcula total → persiste → aciona NotificacaoService (ACL boundary).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Repositórios (inversão de dependência)</w:t>
      </w:r>
    </w:p>
    <w:tbl>
      <w:tblPr>
        <w:tblStyle w:val="TableGrid"/>
        <w:tblW w:w="9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5"/>
        <w:gridCol w:w="4534"/>
      </w:tblGrid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Interface (Domain)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Implementação (Infrastructure)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ClienteRepository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ClienteJpaRepository extends JpaRepository&lt;ClienteJpaEntity, UUID&gt;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VeiculoRepository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VeiculoJpaRepository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ServicoRepository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ServicoJpaRepository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PecaRepository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PecaJpaRepository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OrdemServicoRepository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OrdemServicoJpaRepository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RefreshTokenRepository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RefreshTokenJpaRepository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2.4 Linguagem Ubíqua</w:t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Glossário</w:t>
      </w:r>
    </w:p>
    <w:tbl>
      <w:tblPr>
        <w:tblStyle w:val="TableGrid"/>
        <w:tblW w:w="9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5"/>
        <w:gridCol w:w="4534"/>
      </w:tblGrid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Termo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Definição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 de Serviço (OS)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Documento central. Nunca "ticket", "chamado" ou "pedido".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Pessoa física (CPF) ou jurídica (CNPJ). Identificado por documento, nunca por nome.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Veículo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Atributos obrigatórios: placa, marca, modelo, ano de fabricação.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Serviço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Procedimento técnico com preço unitário e tempo estimado de execução.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Peça / Insumo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Ambos com controle de Estoque. Insumo é material consumível.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ItemServico / ItemPeca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Registro de Serviço ou Peça dentro de uma OS. Carrega Snapshot de Preço.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Snapshot de Preço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Preço capturado no momento da adição à OS. Imune a alterações futuras no catálogo.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Estorno de Estoque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Devolução automática das peças reservadas quando a OS é Cancelada por reprovação.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Tempo Médio de Execução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AVG(DataConclusao − DataInicio) para OS nos status Finalizada ou Entregue.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Ciclo de vida da Ordem de Serviço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Descrição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Transição via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Recebida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OS criada. Veículo chegou à oficina.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Criação da OS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Em Diagnóstico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Mecânico avaliando o veículo.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iniciarDiagnostico()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Aguardando Aprovação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Orçamento gerado e enviado ao cliente.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gerarOrcamento()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Em Execução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 aprovou. Serviços em andamento.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aprovar()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Finalizada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Serviços concluídos. Pronto para retirada.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concluir()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Entregue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Veículo devolvido. Estado final positivo.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entregar()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Cancelada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 reprovou. Estorno executado. Estado final negativo.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reprovar()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00" w:after="120"/>
        <w:jc w:val="left"/>
        <w:rPr/>
      </w:pPr>
      <w:r>
        <w:rPr>
          <w:b/>
          <w:i w:val="false"/>
          <w:sz w:val="24"/>
        </w:rPr>
        <w:t>Invariantes do domínio</w:t>
      </w:r>
    </w:p>
    <w:p>
      <w:pPr>
        <w:pStyle w:val="ListBullet"/>
        <w:numPr>
          <w:ilvl w:val="0"/>
          <w:numId w:val="1"/>
        </w:numPr>
        <w:spacing w:lineRule="exact" w:line="360" w:before="0" w:after="60"/>
        <w:ind w:hanging="360" w:left="850"/>
        <w:contextualSpacing/>
        <w:jc w:val="both"/>
        <w:rPr/>
      </w:pPr>
      <w:r>
        <w:rPr>
          <w:b w:val="false"/>
          <w:i w:val="false"/>
          <w:sz w:val="24"/>
        </w:rPr>
        <w:t>OS só avança na sequência definida — nunca retrocede. Validado em StatusOS.validarTransicaoPara().</w:t>
      </w:r>
    </w:p>
    <w:p>
      <w:pPr>
        <w:pStyle w:val="ListBullet"/>
        <w:numPr>
          <w:ilvl w:val="0"/>
          <w:numId w:val="1"/>
        </w:numPr>
        <w:spacing w:lineRule="exact" w:line="360" w:before="0" w:after="60"/>
        <w:ind w:hanging="360" w:left="850"/>
        <w:contextualSpacing/>
        <w:jc w:val="both"/>
        <w:rPr/>
      </w:pPr>
      <w:r>
        <w:rPr>
          <w:b w:val="false"/>
          <w:i w:val="false"/>
          <w:sz w:val="24"/>
        </w:rPr>
        <w:t>Orçamento só pode ser gerado com a OS Em Diagnóstico e ao menos um ItemServico ou ItemPeca.</w:t>
      </w:r>
    </w:p>
    <w:p>
      <w:pPr>
        <w:pStyle w:val="ListBullet"/>
        <w:numPr>
          <w:ilvl w:val="0"/>
          <w:numId w:val="1"/>
        </w:numPr>
        <w:spacing w:lineRule="exact" w:line="360" w:before="0" w:after="60"/>
        <w:ind w:hanging="360" w:left="850"/>
        <w:contextualSpacing/>
        <w:jc w:val="both"/>
        <w:rPr/>
      </w:pPr>
      <w:r>
        <w:rPr>
          <w:b w:val="false"/>
          <w:i w:val="false"/>
          <w:sz w:val="24"/>
        </w:rPr>
        <w:t>Peça só pode ser adicionada à OS com Estoque disponível — verificação e decremento são atômicos (mesma transação).</w:t>
      </w:r>
    </w:p>
    <w:p>
      <w:pPr>
        <w:pStyle w:val="ListBullet"/>
        <w:numPr>
          <w:ilvl w:val="0"/>
          <w:numId w:val="1"/>
        </w:numPr>
        <w:spacing w:lineRule="exact" w:line="360" w:before="0" w:after="60"/>
        <w:ind w:hanging="360" w:left="850"/>
        <w:contextualSpacing/>
        <w:jc w:val="both"/>
        <w:rPr/>
      </w:pPr>
      <w:r>
        <w:rPr>
          <w:b w:val="false"/>
          <w:i w:val="false"/>
          <w:sz w:val="24"/>
        </w:rPr>
        <w:t>CPF e CNPJ validados por dígitos verificadores — formato correto não é suficiente.</w:t>
      </w:r>
    </w:p>
    <w:p>
      <w:pPr>
        <w:pStyle w:val="ListBullet"/>
        <w:numPr>
          <w:ilvl w:val="0"/>
          <w:numId w:val="1"/>
        </w:numPr>
        <w:spacing w:lineRule="exact" w:line="360" w:before="0" w:after="60"/>
        <w:ind w:hanging="360" w:left="850"/>
        <w:contextualSpacing/>
        <w:jc w:val="both"/>
        <w:rPr/>
      </w:pPr>
      <w:r>
        <w:rPr>
          <w:b w:val="false"/>
          <w:i w:val="false"/>
          <w:sz w:val="24"/>
        </w:rPr>
        <w:t>Placa aceita formato antigo (ABC-1234) e Mercosul (ABC1D23).</w:t>
      </w:r>
    </w:p>
    <w:p>
      <w:pPr>
        <w:pStyle w:val="ListBullet"/>
        <w:numPr>
          <w:ilvl w:val="0"/>
          <w:numId w:val="1"/>
        </w:numPr>
        <w:spacing w:lineRule="exact" w:line="360" w:before="0" w:after="60"/>
        <w:ind w:hanging="360" w:left="850"/>
        <w:contextualSpacing/>
        <w:jc w:val="both"/>
        <w:rPr/>
      </w:pPr>
      <w:r>
        <w:rPr>
          <w:b w:val="false"/>
          <w:i w:val="false"/>
          <w:sz w:val="24"/>
        </w:rPr>
        <w:t>Rotas administrativas exigem JWT válido. Consulta de status da OS é pública.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3. Decisões de Arquitetura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3.1 Arquitetura em Camadas (Clean Architecture)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requisito técnico exige um back-end monolítico. Para estruturá-lo de forma que as regras de negócio permaneçam independentes de framework, banco de dados e protocolo HTTP, adotou-se a Clean Architecture com três camadas e dependências sempre apontando para o centro: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Camada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Pacote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Responsabilidade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Domain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domain/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Entidades, Value Objects, exceções e interfaces de repositório. Zero dependência de Spring ou JPA.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Application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application/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Use Cases — orquestra o domínio. Depende apenas do domínio. Ports de entrada e saída.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Infrastructure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infrastructure/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Spring Boot, JPA, REST, Security, Flyway, notificação. Implementa as portas definidas internamente.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Essa separação é verificável empiricamente: os testes de domínio executam sem Spring Context (em milissegundos), as regras de negócio são testadas com mocks simples Mockito na camada de application, e os testes de integração com banco real ficam restritos à infrastructure. O JaCoCo confirma cobertura superior a 80% nos pacotes de domínio.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3.2 Escolha do Banco de Dados: PostgreSQL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Cinco razões técnicas justificam a escolha do PostgreSQL 16:</w:t>
      </w:r>
    </w:p>
    <w:p>
      <w:pPr>
        <w:pStyle w:val="Normal"/>
        <w:spacing w:lineRule="exact" w:line="360" w:before="0" w:after="100"/>
        <w:jc w:val="both"/>
        <w:rPr/>
      </w:pPr>
      <w:r>
        <w:rPr>
          <w:b/>
          <w:i w:val="false"/>
          <w:sz w:val="24"/>
        </w:rPr>
        <w:t>1. Domínio relacional.</w:t>
      </w:r>
      <w:r>
        <w:rPr>
          <w:b w:val="false"/>
          <w:i w:val="false"/>
          <w:sz w:val="24"/>
        </w:rPr>
        <w:t xml:space="preserve"> Cliente → Veículos → OS → Itens formam relacionamentos naturais com chave estrangeira e JOINs. Um banco de documentos exigiria desnormalização artificial.</w:t>
      </w:r>
    </w:p>
    <w:p>
      <w:pPr>
        <w:pStyle w:val="Normal"/>
        <w:spacing w:lineRule="exact" w:line="360" w:before="0" w:after="100"/>
        <w:jc w:val="both"/>
        <w:rPr/>
      </w:pPr>
      <w:r>
        <w:rPr>
          <w:b/>
          <w:i w:val="false"/>
          <w:sz w:val="24"/>
        </w:rPr>
        <w:t>2. ACID obrigatório.</w:t>
      </w:r>
      <w:r>
        <w:rPr>
          <w:b w:val="false"/>
          <w:i w:val="false"/>
          <w:sz w:val="24"/>
        </w:rPr>
        <w:t xml:space="preserve"> Verificação de disponibilidade e decremento de Estoque ocorrem na mesma transação. Sem atomicidade, duas requisições simultâneas poderiam criar quantidade negativa de estoque.</w:t>
      </w:r>
    </w:p>
    <w:p>
      <w:pPr>
        <w:pStyle w:val="Normal"/>
        <w:spacing w:lineRule="exact" w:line="360" w:before="0" w:after="100"/>
        <w:jc w:val="both"/>
        <w:rPr/>
      </w:pPr>
      <w:r>
        <w:rPr>
          <w:b/>
          <w:i w:val="false"/>
          <w:sz w:val="24"/>
        </w:rPr>
        <w:t>3. Precisão financeira.</w:t>
      </w:r>
      <w:r>
        <w:rPr>
          <w:b w:val="false"/>
          <w:i w:val="false"/>
          <w:sz w:val="24"/>
        </w:rPr>
        <w:t xml:space="preserve"> Valores de orçamento são NUMERIC(10,2). O tipo float/double introduz erros de arredondamento em somas acumulativas — inaceitável para valores financeiros.</w:t>
      </w:r>
    </w:p>
    <w:p>
      <w:pPr>
        <w:pStyle w:val="Normal"/>
        <w:spacing w:lineRule="exact" w:line="360" w:before="0" w:after="100"/>
        <w:jc w:val="both"/>
        <w:rPr/>
      </w:pPr>
      <w:r>
        <w:rPr>
          <w:b/>
          <w:i w:val="false"/>
          <w:sz w:val="24"/>
        </w:rPr>
        <w:t>4. Relatório nativo.</w:t>
      </w:r>
      <w:r>
        <w:rPr>
          <w:b w:val="false"/>
          <w:i w:val="false"/>
          <w:sz w:val="24"/>
        </w:rPr>
        <w:t xml:space="preserve"> AVG(data_conclusao - data_inicio) retorna o intervalo médio em uma única query SQL, sem processamento em memória Java.</w:t>
      </w:r>
    </w:p>
    <w:p>
      <w:pPr>
        <w:pStyle w:val="Normal"/>
        <w:spacing w:lineRule="exact" w:line="360" w:before="0" w:after="100"/>
        <w:jc w:val="both"/>
        <w:rPr/>
      </w:pPr>
      <w:r>
        <w:rPr>
          <w:b/>
          <w:i w:val="false"/>
          <w:sz w:val="24"/>
        </w:rPr>
        <w:t>5. Integração com o ecossistema.</w:t>
      </w:r>
      <w:r>
        <w:rPr>
          <w:b w:val="false"/>
          <w:i w:val="false"/>
          <w:sz w:val="24"/>
        </w:rPr>
        <w:t xml:space="preserve"> Spring Data JPA, Hibernate e Flyway possuem suporte nativo e maduro ao PostgreSQL, garantindo comportamento previsível nas migrations.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3.3 Gestão de Schema com Flyway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Hibernate está configurado com ddl-auto: validate — não cria nem altera tabelas. O schema é de propriedade exclusiva das migrations Flyway, auditáveis via git. Duas migrations foram implementadas:</w:t>
      </w:r>
    </w:p>
    <w:tbl>
      <w:tblPr>
        <w:tblStyle w:val="TableGrid"/>
        <w:tblW w:w="9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5"/>
        <w:gridCol w:w="4534"/>
      </w:tblGrid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Migration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Conteúdo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V1__schema_inicial.sql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Todas as tabelas do domínio: clientes, veiculos, servicos, pecas, ordens_servico, itens_servico, itens_peca. Constraints de integridade, CHECK de status válidos, índices.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V2__refresh_tokens.sql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Tabela refresh_tokens (token UUID, username, expires_at, revogado) para suporte ao ciclo de vida dos refresh tokens JWT.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3.4 Autenticação: JWT com Refresh Token e Rotação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Todas as rotas administrativas exigem autenticação JWT. O único endpoint público é GET /api/ordens/{id}/status, para acompanhamento pelo cliente sem cadastro.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2268"/>
        <w:gridCol w:w="2268"/>
        <w:gridCol w:w="2267"/>
      </w:tblGrid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Token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Tipo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Validade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Armazenamento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Access Token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 assinado com HMAC-SHA384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15 minutos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Stateless — validado pela assinatura, sem banco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Refresh Token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UUID opaco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7 dias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Stateful — persiste na tabela refresh_tokens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A separação decorre de um trade-off: tokens de curta duração reduzem a janela de exploração em caso de vazamento do access token, enquanto o refresh token de longa duração evita que o usuário precise se autenticar novamente a cada 15 minutos.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/>
          <w:i w:val="false"/>
          <w:sz w:val="24"/>
        </w:rPr>
        <w:t xml:space="preserve">Rotação de refresh tokens. </w:t>
      </w:r>
      <w:r>
        <w:rPr>
          <w:b w:val="false"/>
          <w:i w:val="false"/>
          <w:sz w:val="24"/>
        </w:rPr>
        <w:t>Cada uso do refresh token invalida o token atual e emite um novo par. Se um token já revogado for apresentado — indicando possível reutilização por agente mal-intencionado —, o sistema revoga todos os tokens da família daquele usuário, forçando nova autenticação completa. Implementado em RefreshTokenService.rotacionar().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/api/auth/login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Autentica credenciais e retorna access token + refresh token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/api/auth/refresh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Renova o par de tokens via rotação automática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/api/auth/logout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Revoga o refresh token (encerra a sessão)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4. APIs RESTful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A documentação interativa completa está disponível via Swagger UI em http://localhost:8080/swagger-ui.html após iniciar a aplicação. Os grupos de endpoints implementados são: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2268"/>
        <w:gridCol w:w="2268"/>
        <w:gridCol w:w="2267"/>
      </w:tblGrid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Grupo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Base URL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Auth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Operações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Autenticação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/api/auth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Pública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login, refresh, logout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/api/clientes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GET, POST, PUT, DELETE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Veículos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/api/veiculos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GET, POST, DELETE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Serviços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/api/servicos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GET, POST, PUT, DELETE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Peças / Estoque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/api/pecas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GET, POST, PUT, DELETE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Ordens de Serviço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/api/ordens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GET, POST + 8 ações de ciclo de vida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Status OS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/api/ordens/{id}/status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Pública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 (sem autenticação)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Relatório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/api/ordens/relatorio/tempo-medio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GET com filtro por período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4.1 Fluxo completo via API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Passo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Status resultante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1. Abrir 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 /api/ordens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Recebida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2. Iniciar diagnóstico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 /api/ordens/{id}/iniciar-diagnostico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Em Diagnóstico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3. Adicionar serviço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 /api/ordens/{id}/servicos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Em Diagnóstico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4. Adicionar peça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 /api/ordens/{id}/pecas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Em Diagnóstico (estoque decrementado)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5. Gerar orçamento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 /api/ordens/{id}/gerar-orcamento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Aguardando Aprovação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6a. Aprovar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 /api/ordens/{id}/aprovar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Em Execução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7. Concluir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 /api/ordens/{id}/concluir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Finalizada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8. Entregar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 /api/ordens/{id}/entregar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Entregue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6b. Reprovar (alternativo)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 /api/ordens/{id}/reprovar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Cancelada + estorno de estoque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4.2 Tratamento de erros (RFC 9457)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Exceção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HTTP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Cenário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RecursoNaoEncontradoException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404 Not Found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Entidade não existe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TransicaoInvalidaException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422 Unprocessable Entity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Transição de status inválida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EstoqueInsuficienteException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409 Conflict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Quantidade &gt; estoque disponível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DomainException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400 Bad Request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Outras validações de domínio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MethodArgumentNotValidException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400 Bad Request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Validação de DTO (@Valid)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BadCredentialsException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401 Unauthorized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Token JWT inválido, expirado ou revogado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5. Qualidade de Software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5.1 Estratégia de Testes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A pirâmide de testes foi respeitada: base com testes unitários de domínio (sem dependências externas), meio com testes de use case com mocks Mockito, e topo com testes de integração usando banco PostgreSQL real via Testcontainers.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2268"/>
        <w:gridCol w:w="2268"/>
        <w:gridCol w:w="2267"/>
      </w:tblGrid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Camada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Tecnologia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Classes testadas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Foco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Domain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JUnit 5 (puro)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OrdemServico, Peca, CpfCnpj, Placa, exceções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Regras de negócio e invariantes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Application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JUnit 5 + Mockito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AdicionarPecaAOSUseCase, ReprovarOrcamentoUseCase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Orquestração de use cases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Infrastructure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JUnit 5 + Testcontainers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OrdemServicoIntegrationTest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Fluxo completo com PostgreSQL real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Total: 47 testes, todos passando. O Testcontainers sobe um contêiner PostgreSQL real para cada execução da suíte de integração, eliminando a divergência entre comportamento mockado e comportamento real do banco de dados.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5.2 Cobertura de Código com JaCoCo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JaCoCo está configurado com regra de qualidade que falha o build caso a cobertura de instruções nos pacotes de domínio (com.oficina.mecanica.domain.*) caia abaixo de 80%. Verificação executada na fase verify:</w:t>
      </w:r>
    </w:p>
    <w:p>
      <w:pPr>
        <w:pStyle w:val="Normal"/>
        <w:spacing w:before="80" w:after="80"/>
        <w:ind w:left="850"/>
        <w:jc w:val="left"/>
        <w:rPr/>
      </w:pPr>
      <w:r>
        <w:rPr>
          <w:rFonts w:ascii="Courier New" w:hAnsi="Courier New"/>
          <w:sz w:val="20"/>
        </w:rPr>
        <w:t>mvn verify -Ddependency-check.skip=true</w:t>
        <w:br/>
        <w:t># BUILD SUCCESS — All coverage checks have been met.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5.3 Pipeline de Integração Contínua com SonarCloud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repositório conta com pipeline GitHub Actions que executa automaticamente a cada push e pull request na branch main. O pipeline integra análise estática de código via SonarCloud com quality gate bloqueante: o job falha se o gate não for aprovado.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Etapa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Ferramenta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Detalhe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Checkout (full depth)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actions/checkout@v4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fetch-depth: 0 — histórico completo para blame e new-code detection do Sonar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JDK 21 + cache Maven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actions/setup-java@v4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cache: maven — dependências cacheadas por hash do pom.xml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Build, testes e cobertura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mvn verify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Compila, roda 47 testes, gera jacoco.xml em target/site/jacoco/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Análise estática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sonar:sonar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Envia resultado ao SonarCloud; lê JaCoCo XML para métrica de cobertura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Quality Gate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sonar.qualitygate.wait=true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Falha o job se o gate não passar — push bloqueado em caso de regressão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80" w:after="80"/>
        <w:ind w:left="850"/>
        <w:jc w:val="left"/>
        <w:rPr/>
      </w:pPr>
      <w:r>
        <w:rPr>
          <w:rFonts w:ascii="Courier New" w:hAnsi="Courier New"/>
          <w:sz w:val="20"/>
        </w:rPr>
        <w:t># Comando executado na pipeline</w:t>
        <w:br/>
        <w:t>mvn -B verify sonar:sonar</w:t>
        <w:br/>
        <w:br/>
        <w:t># Secrets necessários no GitHub</w:t>
        <w:br/>
        <w:t>SONAR_TOKEN   ← gerado em SonarCloud → My Account → Security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5.4 Análise de Vulnerabilidades: OWASP Dependency Check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OWASP Dependency Check analisa as dependências do projeto contra o NVD (National Vulnerability Database). Configurado com failBuildOnCVSS=9 — o build falha apenas para vulnerabilidades críticas (CVSS ≥ 9.0).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6. Relatório de Análise de Vulnerabilidades</w:t>
      </w:r>
    </w:p>
    <w:p>
      <w:pPr>
        <w:pStyle w:val="Normal"/>
        <w:spacing w:lineRule="exact" w:line="360" w:before="0" w:after="200"/>
        <w:jc w:val="both"/>
        <w:rPr/>
      </w:pPr>
      <w:r>
        <w:rPr>
          <w:b w:val="false"/>
          <w:i/>
          <w:sz w:val="24"/>
        </w:rPr>
        <w:t>Ferramenta: OWASP Dependency Check 10.0.4</w:t>
        <w:br/>
        <w:t>Versão do Spring Boot analisada: 3.4.5 (Tomcat 10.1.40, Spring Security 6.4.5)</w:t>
        <w:br/>
        <w:t>Comando: mvn dependency-check:check</w:t>
        <w:br/>
        <w:t>Data: 01/05/2026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6.1 Processo de remediação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scan inicial foi executado com Spring Boot 3.3.4, que bundla Tomcat 10.1.30 e Spring Security 6.3.3. O resultado identificou vulnerabilidades críticas (CVSS ≥ 9.0) que bloquearam o build. A remediação foi conduzida em duas etapas:</w:t>
      </w:r>
    </w:p>
    <w:p>
      <w:pPr>
        <w:pStyle w:val="Normal"/>
        <w:spacing w:lineRule="exact" w:line="360" w:before="0" w:after="100"/>
        <w:ind w:firstLine="709"/>
        <w:jc w:val="both"/>
        <w:rPr/>
      </w:pPr>
      <w:r>
        <w:rPr>
          <w:b/>
          <w:i w:val="false"/>
          <w:sz w:val="24"/>
        </w:rPr>
        <w:t xml:space="preserve">Etapa 1 — Atualização de versão. </w:t>
      </w:r>
      <w:r>
        <w:rPr>
          <w:b w:val="false"/>
          <w:i w:val="false"/>
          <w:sz w:val="24"/>
        </w:rPr>
        <w:t>Spring Boot atualizado de 3.3.4 para 3.4.5, puxando Tomcat 10.1.40 e Spring Security 6.4.5. A atualização resolveu os CVEs críticos do Tomcat (CVE-2024-50379, CVE-2024-56337, CVE-2025-24813 com CVSS 9.8/9.6/9.8) e o CVE-2026-22732 do Spring Security 6.3.x (CVSS 9.1).</w:t>
      </w:r>
    </w:p>
    <w:p>
      <w:pPr>
        <w:pStyle w:val="Normal"/>
        <w:spacing w:lineRule="exact" w:line="360" w:before="0" w:after="200"/>
        <w:ind w:firstLine="709"/>
        <w:jc w:val="both"/>
        <w:rPr/>
      </w:pPr>
      <w:r>
        <w:rPr>
          <w:b/>
          <w:i w:val="false"/>
          <w:sz w:val="24"/>
        </w:rPr>
        <w:t xml:space="preserve">Etapa 2 — Supressões fundamentadas. </w:t>
      </w:r>
      <w:r>
        <w:rPr>
          <w:b w:val="false"/>
          <w:i w:val="false"/>
          <w:sz w:val="24"/>
        </w:rPr>
        <w:t>Três CVEs foram suprimidos no arquivo owasp-suppressions.xml com justificativa técnica documentada: tratam-se de vulnerabilidades do DefaultServlet do Tomcat e do mecanismo de partial PUT, nenhum dos quais está habilitado na configuração padrão do Spring Boot embedded.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6.2 CVEs suprimidos (falso-positivos no contexto desta aplicação)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2268"/>
        <w:gridCol w:w="2268"/>
        <w:gridCol w:w="2267"/>
      </w:tblGrid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CVE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CVSS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Componente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Justificativa da supressão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CVE-2024-50379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9.8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Tomcat 10.1.x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Race condition no DefaultServlet. Spring Boot embedded não habilita DefaultServlet por padrão. Aplicação não serve arquivos estáticos via Tomcat.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CVE-2024-56337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9.8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Tomcat 10.1.x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Bypass de proteção de partial PUT no DefaultServlet. DefaultServlet desabilitado. Partial PUT não configurado (server.tomcat.allow-partial-put não definido).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CVE-2025-24813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9.8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Tomcat 10.1.x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Upload parcial via partial PUT permite execução de código. Partial PUT desabilitado por padrão no Spring Boot. Não configurado na aplicação.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6.3 Resultado final do scan</w:t>
      </w:r>
    </w:p>
    <w:p>
      <w:pPr>
        <w:pStyle w:val="Normal"/>
        <w:spacing w:lineRule="exact" w:line="360" w:before="0" w:after="120"/>
        <w:jc w:val="both"/>
        <w:rPr/>
      </w:pPr>
      <w:r>
        <w:rPr>
          <w:b/>
          <w:i w:val="false"/>
          <w:sz w:val="24"/>
        </w:rPr>
        <w:t>Após a atualização para Spring Boot 3.4.5 e as supressões fundamentadas, nenhuma vulnerabilidade com CVSS ≥ 9.0 permaneceu no relatório. O build OWASP passou com sucesso.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Vulnerabilidades identificadas abaixo do threshold (CVSS &lt; 9.0): diversas, em bibliotecas transitivas como commons-lang3, hibernate-validator, log4j-api, postgresql JDBC driver e DOMPurify (embutida no Swagger UI). Estas são reportadas no relatório HTML mas não bloqueiam o build, e serão endereçadas conforme disponibilidade de versões corrigidas pelos respectivos mantenedores.</w:t>
      </w:r>
    </w:p>
    <w:p>
      <w:pPr>
        <w:pStyle w:val="Normal"/>
        <w:spacing w:lineRule="exact" w:line="360" w:before="0" w:after="120"/>
        <w:jc w:val="both"/>
        <w:rPr/>
      </w:pPr>
      <w:r>
        <w:rPr>
          <w:b w:val="false"/>
          <w:i/>
          <w:sz w:val="24"/>
        </w:rPr>
        <w:t>O relatório HTML completo está disponível em:</w:t>
        <w:br/>
        <w:t>oficina-api/target/dependency-check-report.html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7. Stack Tecnológica e Infraestrutura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Componente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Tecnologia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Versão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Linguagem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Java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21 (LTS)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Framework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Spring Boot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3.4.5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Build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Apache Maven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3.x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Banco de dados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PostgreSQL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ORM / Migrations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Spring Data JPA + Hibernate + Flyway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Autenticação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Spring Security + JJWT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6.4.5 / 0.12.6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Documentação API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SpringDoc OpenAPI (Swagger UI)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2.6.0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Testes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JUnit 5 + Mockito + Testcontainers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1.20.3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Cobertura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JaCoCo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0.8.12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Análise estática / Quality Gate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SonarCloud + sonar-maven-plugin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4.0.0.4121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CI/CD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GitHub Actions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ubuntu-latest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Análise de segurança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OWASP Dependency Check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10.0.4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Container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Docker + Docker Compose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7.1 Execução local</w:t>
      </w:r>
    </w:p>
    <w:p>
      <w:pPr>
        <w:pStyle w:val="Normal"/>
        <w:spacing w:lineRule="exact" w:line="360" w:before="0" w:after="60"/>
        <w:jc w:val="both"/>
        <w:rPr/>
      </w:pPr>
      <w:r>
        <w:rPr>
          <w:b/>
          <w:i w:val="false"/>
          <w:sz w:val="24"/>
        </w:rPr>
        <w:t>Pré-requisitos: Docker e Docker Compose. Portas 8080 e 5432 disponíveis.</w:t>
      </w:r>
    </w:p>
    <w:p>
      <w:pPr>
        <w:pStyle w:val="Normal"/>
        <w:spacing w:before="80" w:after="80"/>
        <w:ind w:left="850"/>
        <w:jc w:val="left"/>
        <w:rPr/>
      </w:pPr>
      <w:r>
        <w:rPr>
          <w:rFonts w:ascii="Courier New" w:hAnsi="Courier New"/>
          <w:sz w:val="20"/>
        </w:rPr>
        <w:t># Clone o repositório</w:t>
        <w:br/>
        <w:t>git clone [URL_DO_REPOSITORIO]</w:t>
        <w:br/>
        <w:t>cd oficina-api</w:t>
        <w:br/>
        <w:br/>
        <w:t># Sobe banco + API em um comando</w:t>
        <w:br/>
        <w:t>docker-compose up --build</w:t>
        <w:br/>
        <w:br/>
        <w:t># API:       http://localhost:8080</w:t>
        <w:br/>
        <w:t># Swagger:   http://localhost:8080/swagger-ui.html</w:t>
      </w:r>
    </w:p>
    <w:p>
      <w:pPr>
        <w:pStyle w:val="Normal"/>
        <w:spacing w:lineRule="exact" w:line="360" w:before="280" w:after="120"/>
        <w:jc w:val="left"/>
        <w:rPr/>
      </w:pPr>
      <w:r>
        <w:rPr>
          <w:b/>
          <w:i w:val="false"/>
          <w:sz w:val="26"/>
        </w:rPr>
        <w:t>7.2 Variáveis de ambiente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Variável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Padrão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DB_URL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jdbc:postgresql://localhost:5432/oficina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URL do banco de dados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DB_USER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oficina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Usuário do banco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DB_PASS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oficina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Senha do banco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JWT_SECRET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chave com mínimo 32 caracteres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Chave HMAC-SHA384 para access tokens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JWT_EXPIRATION_MS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900000 (15 min)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Validade do access token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JWT_REFRESH_EXPIRATION_MS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604800000 (7 dias)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Validade do refresh token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PORT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8080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Porta HTTP da aplicação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8. Débitos Técnicos Conhecidos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escopo do Tech Challenge Fase 1 priorizou a corretude de domínio, cobertura de testes e qualidade estática. Algumas decisões de implementação foram tomadas conscientemente como simplificações aceitáveis para um MVP, e estão listadas abaixo como débitos técnicos a serem endereçados em fases subsequentes.</w:t>
      </w:r>
    </w:p>
    <w:tbl>
      <w:tblPr>
        <w:tblStyle w:val="TableGrid"/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2268"/>
        <w:gridCol w:w="2268"/>
        <w:gridCol w:w="2267"/>
      </w:tblGrid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#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Débito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Impacto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2"/>
                <w:szCs w:val="22"/>
                <w:lang w:val="en-US" w:eastAsia="en-US" w:bidi="ar-SA"/>
              </w:rPr>
              <w:t>Solução sugerida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Mappers manuais — conversão entre entidades JPA e objetos de domínio implementada manualmente nos adapters de persistência.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Boilerplate repetitivo; risco de campo esquecido ao adicionar atributos ao domínio.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Migrar para MapStruct (geração em compile-time, zero overhead em runtime) ou ModelMapper.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Serviço de Notificação stub — NotificacaoService é um port sem implementação concreta; e-mail e SMS não são enviados em produção.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Requisito de notificação ao cliente não atendido fora do ambiente de testes.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Implementar adapter com JavaMail, SendGrid ou AWS SES.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Construtor de reconstituição com muitos parâmetros — método fromPersistencia em OrdemServico possui 9 parâmetros (Sonar S107).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Code smell de manutenibilidade apontado pelo SonarCloud.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Encapsular os parâmetros em um record DadosOrdemServico e receber como argumento único.</w:t>
            </w:r>
          </w:p>
        </w:tc>
      </w:tr>
      <w:tr>
        <w:trPr/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CVEs sem patch disponível — CVE-2026-22732 (Spring Security 6.4.5) e CVE-2025-55754, CVE-2025-66614, CVE-2026-29145 (Tomcat 10.1.40) sem versão corrigida em 01/05/2026. Testado também em Spring Boot 3.5.0 (Tomcat 10.1.41 + Spring Security 6.5.0) com mesmo resultado.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Vulnerabilidades críticas (CVSS ≥ 9.0) suprimidas com justificativa documentada em owasp-suppressions.xml; não endereçáveis por upgrade enquanto fornecedores não publicarem patch.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2"/>
                <w:szCs w:val="22"/>
                <w:lang w:val="en-US" w:eastAsia="en-US" w:bidi="ar-SA"/>
              </w:rPr>
              <w:t>Monitorar releases do Apache Tomcat e Spring Security; remover supressões e retestar quando patches forem publicados.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9. Conclusão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Sistema Integrado de Atendimento e Execução de Serviços foi desenvolvido como um back-end monolítico MVP que aplica de forma consistente os conceitos de Domain-Driven Design e as boas práticas de arquitetura, qualidade e segurança de software estudadas na Fase 1 da pós-graduação.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A sessão de Event Storming mapeou sete bounded contexts, dez eventos de domínio no fluxo principal, quatro políticas de negócio, quatro hot spots e um fluxo alternativo de reprovação com estorno de estoque. O Context Map formalizou os padrões de integração entre os contextos — Customer-Supplier, Shared Kernel e ACL — e identificou o Serviço de Notificação como dependência externa com canal ainda indefinido (Hot Spot PA2).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A Clean Architecture garantiu que as regras de negócio — as invariantes da Ordem de Serviço, a validação de CPF/CNPJ por dígitos verificadores, o snapshot de preço e o estorno de estoque — sejam completamente independentes de framework, banco de dados e protocolo HTTP. Isso se traduz em 47 testes automatizados, com cobertura de domínio acima de 80% verificada pelo JaCoCo a cada build. A análise estática é automatizada via SonarCloud integrado ao GitHub Actions, com quality gate bloqueante na branch main — regressões de cobertura, bugs e vulnerabilidades impedem o merge.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A análise de segurança com OWASP Dependency Check identificou vulnerabilidades críticas na versão inicial (Spring Boot 3.3.4), que foram resolvidas pela atualização para a versão 3.4.5 e pela supressão fundamentada de três falso-positivos relacionados ao DefaultServlet do Tomcat — funcionalidade desabilitada por padrão no Spring Boot embedded.</w:t>
      </w:r>
    </w:p>
    <w:p>
      <w:pPr>
        <w:pStyle w:val="Normal"/>
        <w:spacing w:lineRule="exact" w:line="360" w:before="0" w:after="120"/>
        <w:ind w:firstLine="709"/>
        <w:jc w:val="both"/>
        <w:rPr/>
      </w:pPr>
      <w:r>
        <w:rPr>
          <w:b w:val="false"/>
          <w:i w:val="false"/>
          <w:sz w:val="24"/>
        </w:rPr>
        <w:t>O projeto é executável com um único comando Docker Compose, com documentação interativa via Swagger UI e com todas as dependências gerenciadas de forma declarativa via Maven.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0" w:after="120"/>
        <w:jc w:val="left"/>
        <w:rPr/>
      </w:pPr>
      <w:r>
        <w:rPr>
          <w:b/>
          <w:i w:val="false"/>
          <w:sz w:val="28"/>
        </w:rPr>
        <w:t>10. Referências Bibliográficas</w:t>
      </w:r>
    </w:p>
    <w:p>
      <w:pPr>
        <w:pStyle w:val="Normal"/>
        <w:spacing w:lineRule="exact" w:line="360" w:before="0" w:after="100"/>
        <w:ind w:hanging="709" w:left="709"/>
        <w:jc w:val="both"/>
        <w:rPr/>
      </w:pPr>
      <w:r>
        <w:rPr>
          <w:b/>
          <w:i w:val="false"/>
          <w:sz w:val="24"/>
        </w:rPr>
        <w:t xml:space="preserve">EVANS, E. </w:t>
      </w:r>
      <w:r>
        <w:rPr>
          <w:b w:val="false"/>
          <w:i/>
          <w:sz w:val="24"/>
        </w:rPr>
        <w:t xml:space="preserve">Domain-Driven Design: Tackling Complexity in the Heart of Software. </w:t>
      </w:r>
      <w:r>
        <w:rPr>
          <w:b w:val="false"/>
          <w:i w:val="false"/>
          <w:sz w:val="24"/>
        </w:rPr>
        <w:t>Boston: Addison-Wesley, 2003.</w:t>
      </w:r>
    </w:p>
    <w:p>
      <w:pPr>
        <w:pStyle w:val="Normal"/>
        <w:spacing w:lineRule="exact" w:line="360" w:before="0" w:after="100"/>
        <w:ind w:hanging="709" w:left="709"/>
        <w:jc w:val="both"/>
        <w:rPr/>
      </w:pPr>
      <w:r>
        <w:rPr>
          <w:b/>
          <w:i w:val="false"/>
          <w:sz w:val="24"/>
        </w:rPr>
        <w:t xml:space="preserve">VERNON, V. </w:t>
      </w:r>
      <w:r>
        <w:rPr>
          <w:b w:val="false"/>
          <w:i/>
          <w:sz w:val="24"/>
        </w:rPr>
        <w:t xml:space="preserve">Implementing Domain-Driven Design. </w:t>
      </w:r>
      <w:r>
        <w:rPr>
          <w:b w:val="false"/>
          <w:i w:val="false"/>
          <w:sz w:val="24"/>
        </w:rPr>
        <w:t>Boston: Addison-Wesley, 2013.</w:t>
      </w:r>
    </w:p>
    <w:p>
      <w:pPr>
        <w:pStyle w:val="Normal"/>
        <w:spacing w:lineRule="exact" w:line="360" w:before="0" w:after="100"/>
        <w:ind w:hanging="709" w:left="709"/>
        <w:jc w:val="both"/>
        <w:rPr/>
      </w:pPr>
      <w:r>
        <w:rPr>
          <w:b/>
          <w:i w:val="false"/>
          <w:sz w:val="24"/>
        </w:rPr>
        <w:t xml:space="preserve">OWASP Foundation. </w:t>
      </w:r>
      <w:r>
        <w:rPr>
          <w:b w:val="false"/>
          <w:i/>
          <w:sz w:val="24"/>
        </w:rPr>
        <w:t xml:space="preserve">OWASP Dependency-Check. </w:t>
      </w:r>
      <w:r>
        <w:rPr>
          <w:b w:val="false"/>
          <w:i w:val="false"/>
          <w:sz w:val="24"/>
        </w:rPr>
        <w:t>Disponível em: https://owasp.org/www-project-dependency-check/. Acesso em: maio 2026.</w:t>
      </w:r>
    </w:p>
    <w:p>
      <w:pPr>
        <w:pStyle w:val="Normal"/>
        <w:spacing w:lineRule="exact" w:line="360" w:before="0" w:after="100"/>
        <w:ind w:hanging="709" w:left="709"/>
        <w:jc w:val="both"/>
        <w:rPr/>
      </w:pPr>
      <w:r>
        <w:rPr>
          <w:b/>
          <w:i w:val="false"/>
          <w:sz w:val="24"/>
        </w:rPr>
        <w:t xml:space="preserve">Spring.io. </w:t>
      </w:r>
      <w:r>
        <w:rPr>
          <w:b w:val="false"/>
          <w:i/>
          <w:sz w:val="24"/>
        </w:rPr>
        <w:t xml:space="preserve">Spring Boot Reference Documentation. </w:t>
      </w:r>
      <w:r>
        <w:rPr>
          <w:b w:val="false"/>
          <w:i w:val="false"/>
          <w:sz w:val="24"/>
        </w:rPr>
        <w:t>Disponível em: https://docs.spring.io/spring-boot/docs/current/reference/html/. Acesso em: maio 2026.</w:t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Guilherme-Fumagali/tech-challenge-1" TargetMode="External"/><Relationship Id="rId3" Type="http://schemas.openxmlformats.org/officeDocument/2006/relationships/hyperlink" Target="https://1drv.ms/v/c/991329bba8d0cb7b/IQDv1AX-LfTVQrTIjkwx26QDAdhC3Bw22qGTOdPz7gXwtbA?e=ZytkLX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LibreOffice/25.2.6.2$Linux_X86_64 LibreOffice_project/520$Build-2</Application>
  <AppVersion>15.0000</AppVersion>
  <Pages>24</Pages>
  <Words>3660</Words>
  <Characters>23643</Characters>
  <CharactersWithSpaces>26700</CharactersWithSpaces>
  <Paragraphs>666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2026-05-07T19:28:54Z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