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UNIVERSIDADE FEDERAL DO TOCANTINS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Bacharelado Interdisciplinar em Inteligência Artificial — BIINAR</w:t>
      </w:r>
    </w:p>
    <w:p>
      <w:pPr>
        <w:spacing w:after="2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Eixo II — Projeto Integrador: Inteligência Tributária (Sefin Palmas) | 2026/2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TAREFA DO PROJETO INTEGRADOR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SPRINT 3 — MODELO DE IA E MVP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C7293"/>
          <w:sz w:val="24"/>
          <w:szCs w:val="24"/>
        </w:rPr>
        <w:t xml:space="preserve">Predição de inadimplência, scoring de recuperabilidade e painel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Período: 29/10 a 11/11/2026  |  Entrega: Quarta-feira, 11/11/2026, até as 23h59 (encerramento do Módulo 6)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Coordenação: Prof. Dr. David Nadler Prata  |  Apoio: docentes dos módulos âncora do Eixo II</w:t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Identificação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Projeto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de Inteligência Tributária — priorização da cobrança da dívida ativa de Palmas-TO (Opção 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Sprint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3 — MODELO DE IA E MVP (29/10 a 11/11/2026)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Módulo(s) âncora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Módulo 6 — Introdução à Inteligência Artificial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Entrega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Quarta-feira, 11/11/2026, até as 23h59 (encerramento do Módulo 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Modalidade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 equipe (3 a 4 integrantes — as equipes formalizadas na Sprint 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Como entregar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Repositório Git da equipe (branch da sprint mesclada) + artefatos em /docs; link enviado à coordenação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Projeto Integrador corresponde a 30% da nota final do Eixo II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Objetivo da sprint  </w:t>
      </w:r>
    </w:p>
    <w:p>
      <w:pPr>
        <w:spacing w:after="60"/>
      </w:pPr>
      <w:r>
        <w:t xml:space="preserve"/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Transformar dados preparados em inteligência: treinar e avaliar o modelo de predição de inadimplência e o scoring de recuperabilidade da dívida ativa, e expor os resultados num MVP interativo que um analista da Sefin consiga usar.</w:t>
      </w:r>
    </w:p>
    <w:p>
      <w:pPr>
        <w:spacing w:after="6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Entregáveis  </w:t>
      </w:r>
    </w:p>
    <w:p>
      <w:pPr>
        <w:spacing w:after="60"/>
      </w:pPr>
      <w:r>
        <w:t xml:space="preserve"/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E1 — Metodologia de treino.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Divisão treino/teste/validação com split temporal sem vazamento de dados, documentada no notebook, e modelos baseline (Regressão Logística, Árvore de Decisão) treinados como referência.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E2 — Modelos finais avaliados.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Modelo de classificação de inadimplência (ex.: Random Forest/XGBoost) com tunagem de hiperparâmetros e métricas completas — acurácia, precisão, recall, F1 e matriz de confusão — mais o modelo complementar de scoring de recuperabilidade (faixas alta/média/baixa), com justificativa das escolhas algorítmicas.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E3 — Notebook documentado + modelo serializado.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Notebook Jupyter com a trilha completa (EDA → pré-processamento → treinamento → avaliação) e o modelo salvo (.pkl/.joblib) versionado em /models.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E4 — MVP com interface.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Painel Streamlit (ou equivalente) funcional: ranking de devedores por score de recuperabilidade, mapa de calor de inadimplência por setor e projeção de arrecadação potencial — demonstrável ao vivo.</w:t>
      </w:r>
    </w:p>
    <w:p>
      <w:pPr>
        <w:spacing w:after="6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Marcos semanais (cronograma oficial do PI)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02/11 a 06/11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Split temporal definido + baselines treinados e registrados no notebook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09/11 a 11/11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ENTREGA Sprint 3: modelo avaliado com métricas documentadas + MVP Streamlit com ranking de risco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Critérios de avaliação (rubrica)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  <w:gridCol w:w="1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será observado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Metodologia (E1)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Split temporal correto, sem vazamento; baselines como referência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Modelos e métricas (E2)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Escolhas justificadas; métricas completas e interpretadas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Notebook e artefatos (E3)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Trilha reprodutível; modelo serializado e versionado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(E4)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Painel funcional e demonstrável, conectado ao pipeline real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30%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6. Orientações e combinados  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entrega é por equipe; a participação individual é conferida pelo histórico de commits, pelos pull requests e pelo diário de bordo.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Atenção ao vazamento temporal: nada do futuro pode informar o passado no treino — a banca vai perguntar.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Guardem as métricas POR SUBGRUPO (faixa de renda, região): a Sprint 4 fará a análise de fairness sobre elas.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Ética na coleta e no tratamento, sempre: fontes oficiais, robots.txt respeitado, delays nas requisições, nenhum dado pessoal além do necessário e anonimização antes do armazenamento (LGPD).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Atrasos: entregas após o prazo recebem desconto de 20% por dia útil, salvo justificativa acordada previamente com a coordenação.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6A00" w:sz="1"/>
              <w:left w:val="single" w:color="9A6A00" w:sz="1"/>
              <w:bottom w:val="single" w:color="9A6A00" w:sz="1"/>
              <w:right w:val="single" w:color="9A6A00" w:sz="1"/>
            </w:tcBorders>
            <w:shd w:fill="FFF3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9A6A00"/>
                <w:sz w:val="22"/>
                <w:szCs w:val="22"/>
              </w:rPr>
              <w:t xml:space="preserve">Por que esta sprint importa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É aqui que o Eixo II inteiro se encontra: matemática, engenharia, dados e IA num produto só.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Mas um modelo sem as métricas honestas da Sprint 4 é só metade da entrega — sigam com o RIA em mente.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Material didático — Eixo II BIINAR 2026/2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BIINAR — Eixo II | UFT Palmas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Projeto Integrador — Sprint 3 — modelo de ia e mvp | Eixo II 2026/2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729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2026-07-09T23:02:09.711Z</dcterms:created>
  <dcterms:modified xsi:type="dcterms:W3CDTF">2026-07-09T23:02:09.711Z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