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7682F552">
      <w:r w:rsidR="469297C0">
        <w:rPr/>
        <w:t>Neste documento, descrevo os conceitos de programação, bem como suas vantagens em relação a outras abordagens de software, utilizados nos projetos SIAD-CR e Facilite Já, suas funcionalidades e o seu objetivo no negócio.</w:t>
      </w:r>
    </w:p>
    <w:p w:rsidR="469297C0" w:rsidP="0E0AB2D8" w:rsidRDefault="469297C0" w14:paraId="35187AFA" w14:textId="08A16B2A">
      <w:pPr>
        <w:pStyle w:val="Normal"/>
        <w:rPr>
          <w:rFonts w:ascii="Calibri" w:hAnsi="Calibri" w:eastAsia="Calibri" w:cs="Calibri"/>
          <w:b w:val="1"/>
          <w:bCs w:val="1"/>
          <w:noProof w:val="0"/>
          <w:color w:val="385623" w:themeColor="accent6" w:themeTint="FF" w:themeShade="80"/>
          <w:sz w:val="22"/>
          <w:szCs w:val="22"/>
          <w:highlight w:val="yellow"/>
          <w:lang w:val="pt-BR"/>
        </w:rPr>
      </w:pPr>
      <w:r w:rsidRPr="0E0AB2D8" w:rsidR="0E0AB2D8">
        <w:rPr>
          <w:rFonts w:ascii="Calibri" w:hAnsi="Calibri" w:eastAsia="Calibri" w:cs="Calibri"/>
          <w:b w:val="1"/>
          <w:bCs w:val="1"/>
          <w:noProof w:val="0"/>
          <w:color w:val="385623" w:themeColor="accent6" w:themeTint="FF" w:themeShade="80"/>
          <w:sz w:val="22"/>
          <w:szCs w:val="22"/>
          <w:highlight w:val="yellow"/>
          <w:lang w:val="pt-BR"/>
        </w:rPr>
        <w:t>1. C</w:t>
      </w:r>
      <w:r w:rsidRPr="0E0AB2D8" w:rsidR="0E0AB2D8">
        <w:rPr>
          <w:b w:val="1"/>
          <w:bCs w:val="1"/>
          <w:color w:val="385623" w:themeColor="accent6" w:themeTint="FF" w:themeShade="80"/>
          <w:highlight w:val="yellow"/>
        </w:rPr>
        <w:t>onceitos de Programação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color w:val="385623" w:themeColor="accent6" w:themeTint="FF" w:themeShade="80"/>
          <w:sz w:val="22"/>
          <w:szCs w:val="22"/>
          <w:lang w:val="pt-BR"/>
        </w:rPr>
        <w:t xml:space="preserve"> </w:t>
      </w:r>
    </w:p>
    <w:p w:rsidR="469297C0" w:rsidP="469297C0" w:rsidRDefault="469297C0" w14:paraId="1883B6E1" w14:textId="23B1310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69297C0" w:rsidR="46929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Interfaces claras: </w:t>
      </w:r>
    </w:p>
    <w:p w:rsidR="469297C0" w:rsidP="469297C0" w:rsidRDefault="469297C0" w14:paraId="65234856" w14:textId="396FF73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469297C0" w:rsidR="46929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Definir interfaces entre os módulos para reduzir </w:t>
      </w:r>
      <w:r w:rsidRPr="469297C0" w:rsidR="46929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dependências</w:t>
      </w:r>
      <w:r w:rsidRPr="469297C0" w:rsidR="46929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</w:p>
    <w:p w:rsidR="469297C0" w:rsidP="469297C0" w:rsidRDefault="469297C0" w14:paraId="0A7A414F" w14:textId="1AA0364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69297C0" w:rsidR="46929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Injeção de dependência: </w:t>
      </w:r>
    </w:p>
    <w:p w:rsidR="469297C0" w:rsidP="469297C0" w:rsidRDefault="469297C0" w14:paraId="60EEE73C" w14:textId="311F7C0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469297C0" w:rsidR="46929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Utilizamos padrões como injeção de </w:t>
      </w:r>
      <w:r w:rsidRPr="469297C0" w:rsidR="46929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dependência</w:t>
      </w:r>
      <w:r w:rsidRPr="469297C0" w:rsidR="469297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para fornecer componentes externos, reduzindo o acoplamento.</w:t>
      </w:r>
    </w:p>
    <w:p w:rsidR="469297C0" w:rsidP="469297C0" w:rsidRDefault="469297C0" w14:paraId="12B1F6A7" w14:textId="48F1201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69297C0" w:rsidR="46929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Mensagens </w:t>
      </w:r>
      <w:r w:rsidRPr="469297C0" w:rsidR="46929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Assíncronas:</w:t>
      </w:r>
    </w:p>
    <w:p w:rsidR="0E0AB2D8" w:rsidP="0E0AB2D8" w:rsidRDefault="0E0AB2D8" w14:paraId="3032071E" w14:textId="1C97230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Utilizar camadas de abstração para isolar componentes e reduzir a necessidade de conhecimento interno.</w:t>
      </w:r>
    </w:p>
    <w:p w:rsidR="0E0AB2D8" w:rsidP="0E0AB2D8" w:rsidRDefault="0E0AB2D8" w14:paraId="74B5120C" w14:textId="40652B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 se tratar de uma aplicação na qual seus objetivos são, de primeira instancia, armazenar ações realizadas pelo administrador, a fim de garantir o monitoramento, diagnóstico de problemas, segurança (Para o registro e análise de ações não suspeitas, como por exemplo a ação em horários não comercial), auditoria e Histórico de ações, descrevo abaixo as principais razões para a escolha da 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tecnologia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0E0AB2D8" w:rsidP="0E0AB2D8" w:rsidRDefault="0E0AB2D8" w14:paraId="2C4BAAC5" w14:textId="009B3D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Arquitetura Limpa:</w:t>
      </w:r>
    </w:p>
    <w:p w:rsidR="0E0AB2D8" w:rsidP="0E0AB2D8" w:rsidRDefault="0E0AB2D8" w14:paraId="34830C7E" w14:textId="0D0770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Utilizo um meu projeto de 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POC, um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design de software propostos por Robert C. Martin, também conhecido como "Uncle Bob", denominada de 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cl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ear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a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r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quitecture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Essa arquitetura busca criar sistemas flexíveis, escaláveis e fáceis de manter, mantendo uma separação clara de responsabilidades.</w:t>
      </w:r>
    </w:p>
    <w:p w:rsidR="0E0AB2D8" w:rsidP="0E0AB2D8" w:rsidRDefault="0E0AB2D8" w14:paraId="03402E2D" w14:textId="2BFAC2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Os principais componentes da Arquitetura Limpa, na POC, incluem:</w:t>
      </w:r>
    </w:p>
    <w:p w:rsidR="0E0AB2D8" w:rsidP="0E0AB2D8" w:rsidRDefault="0E0AB2D8" w14:paraId="3609B344" w14:textId="130A2F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Entidades:</w:t>
      </w:r>
    </w:p>
    <w:p w:rsidR="0E0AB2D8" w:rsidP="0E0AB2D8" w:rsidRDefault="0E0AB2D8" w14:paraId="149540AB" w14:textId="6B92C26F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Representam os objetos de negócios do domínio. Elas encapsulam o estado e as regras de negócios.</w:t>
      </w:r>
    </w:p>
    <w:p w:rsidR="0E0AB2D8" w:rsidP="0E0AB2D8" w:rsidRDefault="0E0AB2D8" w14:paraId="1B2C4D57" w14:textId="03E49C01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Casos de Uso (Use Cases):</w:t>
      </w:r>
    </w:p>
    <w:p w:rsidR="0E0AB2D8" w:rsidP="0E0AB2D8" w:rsidRDefault="0E0AB2D8" w14:paraId="566E6A99" w14:textId="40AC00CE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Contêm as regras de negócios específicas da aplicação. Eles orquestram a interação entre as entidades e os demais componentes.</w:t>
      </w:r>
    </w:p>
    <w:p w:rsidR="0E0AB2D8" w:rsidP="0E0AB2D8" w:rsidRDefault="0E0AB2D8" w14:paraId="335D3DA1" w14:textId="7DEC09CD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E0AB2D8" w:rsidP="0E0AB2D8" w:rsidRDefault="0E0AB2D8" w14:paraId="22ADD3E9" w14:textId="5689C64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Interfaces de Entidades (Gateways):</w:t>
      </w:r>
    </w:p>
    <w:p w:rsidR="0E0AB2D8" w:rsidP="0E0AB2D8" w:rsidRDefault="0E0AB2D8" w14:paraId="58305B72" w14:textId="4CD8C574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São interfaces que permitem a comunicação com elementos externos, como bancos de dados, serviços web, etc. Essas interfaces são implementadas na camada externa.</w:t>
      </w:r>
    </w:p>
    <w:p w:rsidR="0E0AB2D8" w:rsidP="0E0AB2D8" w:rsidRDefault="0E0AB2D8" w14:paraId="2C11B897" w14:textId="1B08BE9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Controladores:</w:t>
      </w:r>
    </w:p>
    <w:p w:rsidR="0E0AB2D8" w:rsidP="0E0AB2D8" w:rsidRDefault="0E0AB2D8" w14:paraId="61904C45" w14:textId="23490A4F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Recebem as solicitações do exterior e orquestram a execução dos casos de uso.</w:t>
      </w:r>
    </w:p>
    <w:p w:rsidR="0E0AB2D8" w:rsidP="0E0AB2D8" w:rsidRDefault="0E0AB2D8" w14:paraId="69577527" w14:textId="162DB231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E0AB2D8" w:rsidP="0E0AB2D8" w:rsidRDefault="0E0AB2D8" w14:paraId="5C313C43" w14:textId="4C684D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E0AB2D8" w:rsidP="0E0AB2D8" w:rsidRDefault="0E0AB2D8" w14:paraId="2555E589" w14:textId="67E88C1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Presenters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/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DTOs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:</w:t>
      </w:r>
    </w:p>
    <w:p w:rsidR="0E0AB2D8" w:rsidP="0E0AB2D8" w:rsidRDefault="0E0AB2D8" w14:paraId="3717E978" w14:textId="1E16A402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Responsáveis pela apresentação dos dados para a interface do usuário. Eles traduzem os dados provenientes dos casos de uso para um formato compreensível para a camada de interface do usuário.</w:t>
      </w:r>
    </w:p>
    <w:p w:rsidR="0E0AB2D8" w:rsidP="0E0AB2D8" w:rsidRDefault="0E0AB2D8" w14:paraId="3FDD2405" w14:textId="5E9D2CC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Frameworks e Drivers:</w:t>
      </w:r>
    </w:p>
    <w:p w:rsidR="0E0AB2D8" w:rsidP="0E0AB2D8" w:rsidRDefault="0E0AB2D8" w14:paraId="3A3B3CBB" w14:textId="6468812D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Contêm os detalhes técnicos, como frameworks específicos, bibliotecas e componentes de infraestrutura. Essa é a camada mais externa e a única que depende de frameworks específicos.</w:t>
      </w:r>
    </w:p>
    <w:p w:rsidR="0E0AB2D8" w:rsidP="0E0AB2D8" w:rsidRDefault="0E0AB2D8" w14:paraId="5C5267EF" w14:textId="35D907CC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arquitetura é organizada em camadas concêntricas, com a Regra da Dependência (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Dependency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Rule) indicando que a direção da dependência deve apontar sempre para o centro da arquitetura, mantendo as dependências internas às camadas mais internas e as camadas externas dependentes apenas de abstrações.</w:t>
      </w:r>
    </w:p>
    <w:p w:rsidR="0E0AB2D8" w:rsidP="0E0AB2D8" w:rsidRDefault="0E0AB2D8" w14:paraId="1E0A025C" w14:textId="3E701223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Os benefícios da Arquitetura Limpa incluem a manutenção da flexibilidade do sistema, facilitação da testabilidade, redução da dependência de frameworks externos e melhor compreensão do código.</w:t>
      </w:r>
    </w:p>
    <w:p w:rsidR="0E0AB2D8" w:rsidP="0E0AB2D8" w:rsidRDefault="0E0AB2D8" w14:paraId="0BEFBAC1" w14:textId="747467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E0AB2D8" w:rsidP="0E0AB2D8" w:rsidRDefault="0E0AB2D8" w14:paraId="06C1DF10" w14:textId="646E4D7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Vantagens de armazenar logs no 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MongoDB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:</w:t>
      </w:r>
    </w:p>
    <w:p w:rsidR="0E0AB2D8" w:rsidP="0E0AB2D8" w:rsidRDefault="0E0AB2D8" w14:paraId="25ED4BED" w14:textId="5DA942F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1. Estrutura de Dados Mais Complexa:</w:t>
      </w:r>
    </w:p>
    <w:p w:rsidR="0E0AB2D8" w:rsidP="0E0AB2D8" w:rsidRDefault="0E0AB2D8" w14:paraId="3DE98A08" w14:textId="371EC255">
      <w:pPr>
        <w:pStyle w:val="Normal"/>
      </w:pP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   Se seus logs têm uma estrutura de dados complexa e exigem consultas mais avançadas, um banco de dados como o </w:t>
      </w: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MongoDB</w:t>
      </w: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pode oferecer mais flexibilidade.</w:t>
      </w:r>
    </w:p>
    <w:p w:rsidR="0E0AB2D8" w:rsidP="0E0AB2D8" w:rsidRDefault="0E0AB2D8" w14:paraId="599D3349" w14:textId="33270F3E">
      <w:pPr>
        <w:pStyle w:val="Normal"/>
      </w:pP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2. Recursos de Consulta e Indexação:</w:t>
      </w:r>
    </w:p>
    <w:p w:rsidR="0E0AB2D8" w:rsidP="0E0AB2D8" w:rsidRDefault="0E0AB2D8" w14:paraId="56997E49" w14:textId="0D938C7C">
      <w:pPr>
        <w:pStyle w:val="Normal"/>
      </w:pP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   O </w:t>
      </w: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MongoDB</w:t>
      </w: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oferece recursos avançados de consulta e indexação, o que pode ser útil para análise de logs em profundidade.</w:t>
      </w:r>
    </w:p>
    <w:p w:rsidR="0E0AB2D8" w:rsidP="0E0AB2D8" w:rsidRDefault="0E0AB2D8" w14:paraId="66783C99" w14:textId="69E88D5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3. Integração com Outros Dados:</w:t>
      </w:r>
    </w:p>
    <w:p w:rsidR="0E0AB2D8" w:rsidP="0E0AB2D8" w:rsidRDefault="0E0AB2D8" w14:paraId="3ADB1F2F" w14:textId="05B6CE0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  Facilidade de integração e armazenamento com a comunicação de serviços externos.</w:t>
      </w:r>
    </w:p>
    <w:p w:rsidR="0E0AB2D8" w:rsidP="0E0AB2D8" w:rsidRDefault="0E0AB2D8" w14:paraId="158870C2" w14:textId="107FC3A9">
      <w:pPr>
        <w:pStyle w:val="Normal"/>
      </w:pPr>
      <w:r w:rsidRPr="0E0AB2D8" w:rsidR="0E0AB2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4. Persistência de Longo Prazo.</w:t>
      </w:r>
    </w:p>
    <w:p w:rsidR="0E0AB2D8" w:rsidP="0E0AB2D8" w:rsidRDefault="0E0AB2D8" w14:paraId="57D457FF" w14:textId="75DE723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0E0AB2D8" w:rsidP="0E0AB2D8" w:rsidRDefault="0E0AB2D8" w14:paraId="32223CEA" w14:textId="037F72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Por se tratar de uma aplicação na qual seus objetivos são, de primeira instancia, de uso exclusivo para clientes externos da companhia, no qual sua principal função é o pagamento de boletos, segue abaixo as principais razões para a escolha do cloud watch para armazenamento de logs: 1. </w:t>
      </w:r>
    </w:p>
    <w:p w:rsidR="0E0AB2D8" w:rsidP="0E0AB2D8" w:rsidRDefault="0E0AB2D8" w14:paraId="7DB29A35" w14:textId="4DF46E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1 Monitoramento em Tempo Real:</w:t>
      </w:r>
    </w:p>
    <w:p w:rsidR="0E0AB2D8" w:rsidP="0E0AB2D8" w:rsidRDefault="0E0AB2D8" w14:paraId="22F00D3D" w14:textId="59E3C5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O CloudWatch permite monitorar logs em tempo real, facilitando a detecção e resposta rápida a eventos importantes ao realizar um pagamento.</w:t>
      </w:r>
    </w:p>
    <w:p w:rsidR="0E0AB2D8" w:rsidP="0E0AB2D8" w:rsidRDefault="0E0AB2D8" w14:paraId="6D152AB3" w14:textId="1B1A79AB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2. Escala Automática:</w:t>
      </w:r>
    </w:p>
    <w:p w:rsidR="0E0AB2D8" w:rsidP="0E0AB2D8" w:rsidRDefault="0E0AB2D8" w14:paraId="7C3759A1" w14:textId="3A0EDFC4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CloudWatch é dimensionado automaticamente para lidar com grandes volumes de logs, oferecendo escalabilidade eficiente.</w:t>
      </w:r>
    </w:p>
    <w:p w:rsidR="0E0AB2D8" w:rsidP="0E0AB2D8" w:rsidRDefault="0E0AB2D8" w14:paraId="2C2C3BE1" w14:textId="06FCAADE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3. Ferramentas de Análise:</w:t>
      </w:r>
    </w:p>
    <w:p w:rsidR="0E0AB2D8" w:rsidP="0E0AB2D8" w:rsidRDefault="0E0AB2D8" w14:paraId="5326B070" w14:textId="04ACCA10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O CloudWatch fornece ferramentas de análise e consulta de logs, permitindo a extração de insights úteis, a fim de conhecermos mais o cliente final.</w:t>
      </w:r>
    </w:p>
    <w:p w:rsidR="0E0AB2D8" w:rsidP="0E0AB2D8" w:rsidRDefault="0E0AB2D8" w14:paraId="4E9543AB" w14:textId="6A1939CE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4. Alertas e Ações Automáticas:</w:t>
      </w:r>
    </w:p>
    <w:p w:rsidR="0E0AB2D8" w:rsidP="0E0AB2D8" w:rsidRDefault="0E0AB2D8" w14:paraId="7283C5AE" w14:textId="4F07D73C">
      <w:pPr>
        <w:pStyle w:val="Normal"/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Pode-se configurar alertas no 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CloudWatch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acionar ações automáticas em resposta a eventos específicos, como erros ao realizar um pagamento.</w:t>
      </w:r>
    </w:p>
    <w:p w:rsidR="0E0AB2D8" w:rsidP="0E0AB2D8" w:rsidRDefault="0E0AB2D8" w14:paraId="380467F1" w14:textId="6FA4D7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E0AB2D8" w:rsidP="0E0AB2D8" w:rsidRDefault="0E0AB2D8" w14:paraId="682B852F" w14:textId="1D42EE2D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 xml:space="preserve">Visando segurança, todos os dados sensíveis que a aplicação deverá </w:t>
      </w:r>
      <w:r w:rsidRPr="0E0AB2D8" w:rsidR="0E0AB2D8">
        <w:rPr>
          <w:rFonts w:ascii="Calibri" w:hAnsi="Calibri" w:eastAsia="Calibri" w:cs="Calibri"/>
          <w:b w:val="0"/>
          <w:bCs w:val="0"/>
          <w:noProof w:val="0"/>
          <w:color w:val="FF0000"/>
          <w:sz w:val="22"/>
          <w:szCs w:val="22"/>
          <w:lang w:val="pt-BR"/>
        </w:rPr>
        <w:t>compartilhar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 xml:space="preserve">, bem como senhas e tokens, deverão ser armazenados no serviço da 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>aws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 xml:space="preserve"> 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>secrets</w:t>
      </w:r>
      <w:r w:rsidRPr="0E0AB2D8" w:rsidR="0E0AB2D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BR"/>
        </w:rPr>
        <w:t xml:space="preserve"> manager.</w:t>
      </w:r>
    </w:p>
    <w:p w:rsidR="469297C0" w:rsidP="0E0AB2D8" w:rsidRDefault="469297C0" w14:paraId="02388F9D" w14:textId="2FB340F5">
      <w:pPr>
        <w:pStyle w:val="Normal"/>
        <w:rPr>
          <w:b w:val="1"/>
          <w:bCs w:val="1"/>
          <w:color w:val="385623" w:themeColor="accent6" w:themeTint="FF" w:themeShade="80"/>
        </w:rPr>
      </w:pPr>
      <w:r w:rsidRPr="0E0AB2D8" w:rsidR="0E0AB2D8">
        <w:rPr>
          <w:b w:val="1"/>
          <w:bCs w:val="1"/>
          <w:color w:val="385623" w:themeColor="accent6" w:themeTint="FF" w:themeShade="80"/>
        </w:rPr>
        <w:t>2. Objetivo no Negócio</w:t>
      </w:r>
    </w:p>
    <w:p w:rsidR="469297C0" w:rsidP="0E0AB2D8" w:rsidRDefault="469297C0" w14:paraId="000737D2" w14:textId="11FF1B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0E0AB2D8">
        <w:rPr>
          <w:b w:val="0"/>
          <w:bCs w:val="0"/>
        </w:rPr>
        <w:t xml:space="preserve">O SIAD-CR é de uso interno da companhia, voltado exclusivamente para a área de 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cobrança e renegociação de crédito.</w:t>
      </w:r>
    </w:p>
    <w:p w:rsidR="469297C0" w:rsidP="469297C0" w:rsidRDefault="469297C0" w14:paraId="419A3DA5" w14:textId="381EE047">
      <w:pPr>
        <w:pStyle w:val="Normal"/>
        <w:rPr>
          <w:b w:val="0"/>
          <w:bCs w:val="0"/>
        </w:rPr>
      </w:pPr>
      <w:r w:rsidRPr="469297C0" w:rsidR="469297C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Suas principais funcionalidades são: </w:t>
      </w:r>
    </w:p>
    <w:p w:rsidR="469297C0" w:rsidP="469297C0" w:rsidRDefault="469297C0" w14:paraId="5C559A52" w14:textId="7A4A43D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9297C0" w:rsidR="469297C0">
        <w:rPr>
          <w:rFonts w:ascii="Calibri" w:hAnsi="Calibri" w:eastAsia="Calibri" w:cs="Calibri"/>
          <w:noProof w:val="0"/>
          <w:sz w:val="22"/>
          <w:szCs w:val="22"/>
          <w:lang w:val="pt-BR"/>
        </w:rPr>
        <w:t>Ações de Cobrança ao Cliente via E-mail.</w:t>
      </w:r>
    </w:p>
    <w:p w:rsidR="469297C0" w:rsidP="469297C0" w:rsidRDefault="469297C0" w14:paraId="6B339B62" w14:textId="4EF10A9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9297C0" w:rsidR="469297C0">
        <w:rPr>
          <w:rFonts w:ascii="Calibri" w:hAnsi="Calibri" w:eastAsia="Calibri" w:cs="Calibri"/>
          <w:noProof w:val="0"/>
          <w:sz w:val="22"/>
          <w:szCs w:val="22"/>
          <w:lang w:val="pt-BR"/>
        </w:rPr>
        <w:t>Negativação junto aos birôs de crédito.</w:t>
      </w:r>
    </w:p>
    <w:p w:rsidR="469297C0" w:rsidP="469297C0" w:rsidRDefault="469297C0" w14:paraId="37C26312" w14:textId="06A66FD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9297C0" w:rsidR="469297C0">
        <w:rPr>
          <w:rFonts w:ascii="Calibri" w:hAnsi="Calibri" w:eastAsia="Calibri" w:cs="Calibri"/>
          <w:noProof w:val="0"/>
          <w:sz w:val="22"/>
          <w:szCs w:val="22"/>
          <w:lang w:val="pt-BR"/>
        </w:rPr>
        <w:t>Emissão de Boletos.</w:t>
      </w:r>
    </w:p>
    <w:p w:rsidR="469297C0" w:rsidP="469297C0" w:rsidRDefault="469297C0" w14:paraId="0BA9A7C0" w14:textId="45173D14">
      <w:pPr>
        <w:pStyle w:val="Normal"/>
        <w:rPr>
          <w:b w:val="0"/>
          <w:bCs w:val="0"/>
        </w:rPr>
      </w:pPr>
      <w:r w:rsidR="469297C0">
        <w:rPr>
          <w:b w:val="0"/>
          <w:bCs w:val="0"/>
        </w:rPr>
        <w:t>O Facilite já é de uso externo, ou seja, para o usuário final poder realizar os principais objetivos:</w:t>
      </w:r>
    </w:p>
    <w:p w:rsidR="469297C0" w:rsidP="469297C0" w:rsidRDefault="469297C0" w14:paraId="7A1DD911" w14:textId="3D9C459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69297C0" w:rsidR="469297C0">
        <w:rPr>
          <w:rFonts w:ascii="Calibri" w:hAnsi="Calibri" w:eastAsia="Calibri" w:cs="Calibri"/>
          <w:noProof w:val="0"/>
          <w:sz w:val="22"/>
          <w:szCs w:val="22"/>
          <w:lang w:val="pt-BR"/>
        </w:rPr>
        <w:t>Funcionalidades de Renegociação (Agrupamento da Dívida e Simulação de Pagamento);</w:t>
      </w:r>
    </w:p>
    <w:p w:rsidR="469297C0" w:rsidP="469297C0" w:rsidRDefault="469297C0" w14:paraId="069B6E85" w14:textId="50C2525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Funcionalidades de Pagamento (Pagamento de 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Boletos)</w:t>
      </w:r>
      <w:r w:rsidRPr="0E0AB2D8" w:rsidR="0E0AB2D8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69297C0" w:rsidP="469297C0" w:rsidRDefault="469297C0" w14:paraId="1A7E5B41" w14:textId="7EFC4F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69297C0" w:rsidP="469297C0" w:rsidRDefault="469297C0" w14:paraId="71746314" w14:textId="5A8871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69297C0" w:rsidP="469297C0" w:rsidRDefault="469297C0" w14:paraId="741EFED1" w14:textId="015423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69297C0" w:rsidP="469297C0" w:rsidRDefault="469297C0" w14:paraId="532F7FE0" w14:textId="0ED3C3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69297C0" w:rsidP="469297C0" w:rsidRDefault="469297C0" w14:paraId="146EB6B0" w14:textId="7F519A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ea6c9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a15a0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d41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CE99E"/>
    <w:rsid w:val="0E0AB2D8"/>
    <w:rsid w:val="469297C0"/>
    <w:rsid w:val="790CE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E99E"/>
  <w15:chartTrackingRefBased/>
  <w15:docId w15:val="{498EA325-C68A-4B00-8FB3-7F67C1CB7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4c0fb4fd314e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2024-01-24T23:32:37.4129756Z</dcterms:created>
  <dcterms:modified xsi:type="dcterms:W3CDTF">2024-01-30T19:05:36.4509955Z</dcterms:modified>
  <dc:creator>Guilherme Oliveira</dc:creator>
  <lastModifiedBy>Guilherme Oliveira</lastModifiedBy>
</coreProperties>
</file>