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color w:val="1A1A2E"/>
          <w:sz w:val="44"/>
        </w:rPr>
        <w:t>Relatório de Testes Unitários e</w:t>
        <w:br/>
        <w:t>Cobertura de Código</w:t>
      </w:r>
    </w:p>
    <w:p>
      <w:pPr>
        <w:jc w:val="center"/>
      </w:pPr>
      <w:r>
        <w:rPr>
          <w:rFonts w:ascii="Times New Roman" w:hAnsi="Times New Roman"/>
          <w:color w:val="444444"/>
          <w:sz w:val="28"/>
        </w:rPr>
        <w:t>Projeto AutoJuri — Frontend de Automação de Contestações Jurídicas</w:t>
      </w:r>
    </w:p>
    <w:p/>
    <w:p>
      <w:pPr>
        <w:jc w:val="center"/>
      </w:pPr>
      <w:r>
        <w:rPr>
          <w:rFonts w:ascii="Times New Roman" w:hAnsi="Times New Roman"/>
          <w:b/>
          <w:sz w:val="28"/>
        </w:rPr>
        <w:t>Disciplina: Teste e Qualidade de Software</w:t>
      </w:r>
    </w:p>
    <w:p/>
    <w:p/>
    <w:p/>
    <w:p/>
    <w:p>
      <w:pPr>
        <w:jc w:val="center"/>
      </w:pPr>
      <w:r>
        <w:rPr>
          <w:rFonts w:ascii="Times New Roman" w:hAnsi="Times New Roman"/>
          <w:sz w:val="24"/>
        </w:rPr>
        <w:t>Aluno: Guilherme Maciel</w:t>
      </w:r>
    </w:p>
    <w:p>
      <w:pPr>
        <w:jc w:val="center"/>
      </w:pPr>
      <w:r>
        <w:rPr>
          <w:rFonts w:ascii="Times New Roman" w:hAnsi="Times New Roman"/>
          <w:sz w:val="24"/>
        </w:rPr>
      </w:r>
    </w:p>
    <w:p>
      <w:pPr>
        <w:jc w:val="center"/>
      </w:pPr>
      <w:r>
        <w:rPr>
          <w:rFonts w:ascii="Times New Roman" w:hAnsi="Times New Roman"/>
          <w:sz w:val="24"/>
        </w:rPr>
        <w:t>Repositório: API-DE-AUTOMA-AO-DE-CONTESTACAO</w:t>
      </w:r>
    </w:p>
    <w:p>
      <w:pPr>
        <w:jc w:val="center"/>
      </w:pPr>
      <w:r>
        <w:rPr>
          <w:rFonts w:ascii="Times New Roman" w:hAnsi="Times New Roman"/>
          <w:sz w:val="24"/>
        </w:rPr>
      </w:r>
    </w:p>
    <w:p>
      <w:pPr>
        <w:jc w:val="center"/>
      </w:pPr>
      <w:r>
        <w:rPr>
          <w:rFonts w:ascii="Times New Roman" w:hAnsi="Times New Roman"/>
          <w:sz w:val="24"/>
        </w:rPr>
        <w:t>Tecnologias: React 19 • Vite 7 • Vitest 3 • V8 Coverage</w:t>
      </w:r>
    </w:p>
    <w:p>
      <w:pPr>
        <w:jc w:val="center"/>
      </w:pPr>
      <w:r>
        <w:rPr>
          <w:rFonts w:ascii="Times New Roman" w:hAnsi="Times New Roman"/>
          <w:sz w:val="24"/>
        </w:rPr>
      </w:r>
    </w:p>
    <w:p>
      <w:pPr>
        <w:jc w:val="center"/>
      </w:pPr>
      <w:r>
        <w:rPr>
          <w:rFonts w:ascii="Times New Roman" w:hAnsi="Times New Roman"/>
          <w:sz w:val="24"/>
        </w:rPr>
        <w:t>Data: 12 de Abril de 2026</w:t>
      </w:r>
    </w:p>
    <w:p>
      <w:r>
        <w:br w:type="page"/>
      </w:r>
    </w:p>
    <w:p>
      <w:pPr>
        <w:pStyle w:val="Heading1"/>
      </w:pPr>
      <w:r>
        <w:rPr>
          <w:color w:val="16213E"/>
        </w:rPr>
        <w:t>1. Pasta e Diretório Contendo os Testes</w:t>
      </w:r>
    </w:p>
    <w:p>
      <w:pPr>
        <w:pStyle w:val="Heading2"/>
      </w:pPr>
      <w:r>
        <w:rPr>
          <w:color w:val="16213E"/>
        </w:rPr>
        <w:t>1.1 Estrutura do Projeto</w:t>
      </w:r>
    </w:p>
    <w:p>
      <w:pPr>
        <w:jc w:val="both"/>
      </w:pPr>
      <w:r>
        <w:rPr>
          <w:rFonts w:ascii="Times New Roman" w:hAnsi="Times New Roman"/>
          <w:b w:val="0"/>
          <w:i w:val="0"/>
          <w:sz w:val="24"/>
        </w:rPr>
        <w:t>O projeto AutoJuri é uma aplicação web de automação de contestações jurídicas, construída com React 19 e Vite 7. A lógica de negócio testável está concentrada no diretório src/utils/, que contém funções puras responsáveis por validações, formatações e operações de persistência local.</w:t>
      </w:r>
    </w:p>
    <w:p>
      <w:pPr>
        <w:jc w:val="both"/>
      </w:pPr>
      <w:r>
        <w:rPr>
          <w:rFonts w:ascii="Times New Roman" w:hAnsi="Times New Roman"/>
          <w:b w:val="0"/>
          <w:i w:val="0"/>
          <w:sz w:val="24"/>
        </w:rPr>
        <w:t>Os testes unitários seguem a convenção de co-location, ficando no mesmo diretório dos módulos testados, com o sufixo .test.js:</w:t>
      </w:r>
    </w:p>
    <w:p>
      <w:pPr>
        <w:spacing w:before="0" w:after="0" w:line="240" w:lineRule="auto"/>
      </w:pPr>
      <w:r>
        <w:rPr>
          <w:rFonts w:ascii="Courier New" w:hAnsi="Courier New"/>
          <w:sz w:val="18"/>
        </w:rPr>
        <w:t>Front comp/vite-project/</w:t>
      </w:r>
    </w:p>
    <w:p>
      <w:pPr>
        <w:spacing w:before="0" w:after="0" w:line="240" w:lineRule="auto"/>
      </w:pPr>
      <w:r>
        <w:rPr>
          <w:rFonts w:ascii="Courier New" w:hAnsi="Courier New"/>
          <w:sz w:val="18"/>
        </w:rPr>
        <w:t xml:space="preserve">  src/</w:t>
      </w:r>
    </w:p>
    <w:p>
      <w:pPr>
        <w:spacing w:before="0" w:after="0" w:line="240" w:lineRule="auto"/>
      </w:pPr>
      <w:r>
        <w:rPr>
          <w:rFonts w:ascii="Courier New" w:hAnsi="Courier New"/>
          <w:sz w:val="18"/>
        </w:rPr>
        <w:t xml:space="preserve">    utils/</w:t>
      </w:r>
    </w:p>
    <w:p>
      <w:pPr>
        <w:spacing w:before="0" w:after="0" w:line="240" w:lineRule="auto"/>
      </w:pPr>
      <w:r>
        <w:rPr>
          <w:rFonts w:ascii="Courier New" w:hAnsi="Courier New"/>
          <w:sz w:val="18"/>
        </w:rPr>
        <w:t xml:space="preserve">      validators.js          → Validação de e-mail, senha, CNJ e campos de auth</w:t>
      </w:r>
    </w:p>
    <w:p>
      <w:pPr>
        <w:spacing w:before="0" w:after="0" w:line="240" w:lineRule="auto"/>
      </w:pPr>
      <w:r>
        <w:rPr>
          <w:rFonts w:ascii="Courier New" w:hAnsi="Courier New"/>
          <w:sz w:val="18"/>
        </w:rPr>
        <w:t xml:space="preserve">      validators.test.js     → 65 testes</w:t>
      </w:r>
    </w:p>
    <w:p>
      <w:pPr>
        <w:spacing w:before="0" w:after="0" w:line="240" w:lineRule="auto"/>
      </w:pPr>
      <w:r>
        <w:rPr>
          <w:rFonts w:ascii="Courier New" w:hAnsi="Courier New"/>
          <w:sz w:val="18"/>
        </w:rPr>
        <w:t xml:space="preserve">      cases.js               → Geração de ID incremental de caso jurídico</w:t>
      </w:r>
    </w:p>
    <w:p>
      <w:pPr>
        <w:spacing w:before="0" w:after="0" w:line="240" w:lineRule="auto"/>
      </w:pPr>
      <w:r>
        <w:rPr>
          <w:rFonts w:ascii="Courier New" w:hAnsi="Courier New"/>
          <w:sz w:val="18"/>
        </w:rPr>
        <w:t xml:space="preserve">      cases.test.js          → 7 testes</w:t>
      </w:r>
    </w:p>
    <w:p>
      <w:pPr>
        <w:spacing w:before="0" w:after="0" w:line="240" w:lineRule="auto"/>
      </w:pPr>
      <w:r>
        <w:rPr>
          <w:rFonts w:ascii="Courier New" w:hAnsi="Courier New"/>
          <w:sz w:val="18"/>
        </w:rPr>
        <w:t xml:space="preserve">      html.js                → Escape de caracteres HTML (proteção XSS)</w:t>
      </w:r>
    </w:p>
    <w:p>
      <w:pPr>
        <w:spacing w:before="0" w:after="0" w:line="240" w:lineRule="auto"/>
      </w:pPr>
      <w:r>
        <w:rPr>
          <w:rFonts w:ascii="Courier New" w:hAnsi="Courier New"/>
          <w:sz w:val="18"/>
        </w:rPr>
        <w:t xml:space="preserve">      html.test.js           → 11 testes</w:t>
      </w:r>
    </w:p>
    <w:p>
      <w:pPr>
        <w:spacing w:before="0" w:after="0" w:line="240" w:lineRule="auto"/>
      </w:pPr>
      <w:r>
        <w:rPr>
          <w:rFonts w:ascii="Courier New" w:hAnsi="Courier New"/>
          <w:sz w:val="18"/>
        </w:rPr>
        <w:t xml:space="preserve">      files.js               → Validação de upload, normalização de nome</w:t>
      </w:r>
    </w:p>
    <w:p>
      <w:pPr>
        <w:spacing w:before="0" w:after="0" w:line="240" w:lineRule="auto"/>
      </w:pPr>
      <w:r>
        <w:rPr>
          <w:rFonts w:ascii="Courier New" w:hAnsi="Courier New"/>
          <w:sz w:val="18"/>
        </w:rPr>
        <w:t xml:space="preserve">      files.test.js          → 23 testes</w:t>
      </w:r>
    </w:p>
    <w:p>
      <w:pPr>
        <w:spacing w:before="0" w:after="0" w:line="240" w:lineRule="auto"/>
      </w:pPr>
      <w:r>
        <w:rPr>
          <w:rFonts w:ascii="Courier New" w:hAnsi="Courier New"/>
          <w:sz w:val="18"/>
        </w:rPr>
        <w:t xml:space="preserve">      storage.js             → Persistência de rascunho e sessão no localStorage</w:t>
      </w:r>
    </w:p>
    <w:p>
      <w:pPr>
        <w:spacing w:before="0" w:after="0" w:line="240" w:lineRule="auto"/>
      </w:pPr>
      <w:r>
        <w:rPr>
          <w:rFonts w:ascii="Courier New" w:hAnsi="Courier New"/>
          <w:sz w:val="18"/>
        </w:rPr>
        <w:t xml:space="preserve">      storage.test.js        → 15 testes</w:t>
      </w:r>
    </w:p>
    <w:p>
      <w:pPr>
        <w:pStyle w:val="Heading2"/>
      </w:pPr>
      <w:r>
        <w:rPr>
          <w:color w:val="16213E"/>
        </w:rPr>
        <w:t>1.2 Módulo Selecionado e Justificativa</w:t>
      </w:r>
    </w:p>
    <w:p>
      <w:pPr>
        <w:jc w:val="both"/>
      </w:pPr>
      <w:r>
        <w:rPr>
          <w:rFonts w:ascii="Times New Roman" w:hAnsi="Times New Roman"/>
          <w:b w:val="0"/>
          <w:i w:val="0"/>
          <w:sz w:val="24"/>
        </w:rPr>
        <w:t>O módulo src/utils/ foi selecionado por conter toda a lógica de negócio do frontend, incluindo:</w:t>
      </w:r>
    </w:p>
    <w:p>
      <w:pPr>
        <w:pStyle w:val="ListBullet"/>
      </w:pPr>
      <w:r>
        <w:rPr>
          <w:rFonts w:ascii="Times New Roman" w:hAnsi="Times New Roman"/>
          <w:sz w:val="24"/>
        </w:rPr>
        <w:t>validators.js: Regras de validação de formulários de autenticação (e-mail, senha com requisitos de força, número de processo CNJ) e extração de mensagens de erro da API;</w:t>
      </w:r>
    </w:p>
    <w:p>
      <w:pPr>
        <w:pStyle w:val="ListBullet"/>
      </w:pPr>
      <w:r>
        <w:rPr>
          <w:rFonts w:ascii="Times New Roman" w:hAnsi="Times New Roman"/>
          <w:sz w:val="24"/>
        </w:rPr>
        <w:t>files.js: Validação de upload de peças processuais (extensão, MIME type, limite de tamanho) e normalização de nomes para exportação;</w:t>
      </w:r>
    </w:p>
    <w:p>
      <w:pPr>
        <w:pStyle w:val="ListBullet"/>
      </w:pPr>
      <w:r>
        <w:rPr>
          <w:rFonts w:ascii="Times New Roman" w:hAnsi="Times New Roman"/>
          <w:sz w:val="24"/>
        </w:rPr>
        <w:t>storage.js: Persistência segura de rascunhos e sessões no navegador, garantindo que dados sensíveis como tokens não sejam armazenados;</w:t>
      </w:r>
    </w:p>
    <w:p>
      <w:pPr>
        <w:pStyle w:val="ListBullet"/>
      </w:pPr>
      <w:r>
        <w:rPr>
          <w:rFonts w:ascii="Times New Roman" w:hAnsi="Times New Roman"/>
          <w:sz w:val="24"/>
        </w:rPr>
        <w:t>cases.js: Geração de identificadores únicos para casos no dashboard;</w:t>
      </w:r>
    </w:p>
    <w:p>
      <w:pPr>
        <w:pStyle w:val="ListBullet"/>
      </w:pPr>
      <w:r>
        <w:rPr>
          <w:rFonts w:ascii="Times New Roman" w:hAnsi="Times New Roman"/>
          <w:sz w:val="24"/>
        </w:rPr>
        <w:t>html.js: Sanitização de strings para prevenção de ataques XSS.</w:t>
      </w:r>
    </w:p>
    <w:p>
      <w:pPr>
        <w:jc w:val="both"/>
      </w:pPr>
      <w:r>
        <w:rPr>
          <w:rFonts w:ascii="Times New Roman" w:hAnsi="Times New Roman"/>
          <w:b w:val="0"/>
          <w:i w:val="0"/>
          <w:sz w:val="24"/>
        </w:rPr>
        <w:t>Essas funções são ideais para testes unitários por serem predominantemente funções puras (sem efeitos colaterais além do localStorage) e por representarem regras críticas de segurança e integridade de dados da aplicação.</w:t>
      </w:r>
    </w:p>
    <w:p>
      <w:pPr>
        <w:pStyle w:val="Heading2"/>
      </w:pPr>
      <w:r>
        <w:rPr>
          <w:color w:val="16213E"/>
        </w:rPr>
        <w:t>1.3 Ferramentas Utilizadas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6213e" w:val="clear"/>
          </w:tcPr>
          <w:p>
            <w:pPr>
              <w:jc w:val="center"/>
            </w:pPr>
            <w:r>
              <w:rPr>
                <w:rFonts w:ascii="Times New Roman" w:hAnsi="Times New Roman"/>
                <w:b/>
                <w:color w:val="FFFFFF"/>
                <w:sz w:val="20"/>
              </w:rPr>
              <w:t>Ferramenta</w:t>
            </w:r>
          </w:p>
        </w:tc>
        <w:tc>
          <w:tcPr>
            <w:tcW w:type="dxa" w:w="3041"/>
            <w:shd w:fill="16213e" w:val="clear"/>
          </w:tcPr>
          <w:p>
            <w:pPr>
              <w:jc w:val="center"/>
            </w:pPr>
            <w:r>
              <w:rPr>
                <w:rFonts w:ascii="Times New Roman" w:hAnsi="Times New Roman"/>
                <w:b/>
                <w:color w:val="FFFFFF"/>
                <w:sz w:val="20"/>
              </w:rPr>
              <w:t>Versão</w:t>
            </w:r>
          </w:p>
        </w:tc>
        <w:tc>
          <w:tcPr>
            <w:tcW w:type="dxa" w:w="3041"/>
            <w:shd w:fill="16213e" w:val="clear"/>
          </w:tcPr>
          <w:p>
            <w:pPr>
              <w:jc w:val="center"/>
            </w:pPr>
            <w:r>
              <w:rPr>
                <w:rFonts w:ascii="Times New Roman" w:hAnsi="Times New Roman"/>
                <w:b/>
                <w:color w:val="FFFFFF"/>
                <w:sz w:val="20"/>
              </w:rPr>
              <w:t>Finalidade</w:t>
            </w:r>
          </w:p>
        </w:tc>
      </w:tr>
      <w:tr>
        <w:tc>
          <w:tcPr>
            <w:tcW w:type="dxa" w:w="3041"/>
          </w:tcPr>
          <w:p>
            <w:pPr>
              <w:jc w:val="center"/>
            </w:pPr>
            <w:r>
              <w:rPr>
                <w:rFonts w:ascii="Times New Roman" w:hAnsi="Times New Roman"/>
                <w:sz w:val="20"/>
              </w:rPr>
              <w:t>Vitest</w:t>
            </w:r>
          </w:p>
        </w:tc>
        <w:tc>
          <w:tcPr>
            <w:tcW w:type="dxa" w:w="3041"/>
          </w:tcPr>
          <w:p>
            <w:pPr>
              <w:jc w:val="center"/>
            </w:pPr>
            <w:r>
              <w:rPr>
                <w:rFonts w:ascii="Times New Roman" w:hAnsi="Times New Roman"/>
                <w:sz w:val="20"/>
              </w:rPr>
              <w:t>3.2.4</w:t>
            </w:r>
          </w:p>
        </w:tc>
        <w:tc>
          <w:tcPr>
            <w:tcW w:type="dxa" w:w="3041"/>
          </w:tcPr>
          <w:p>
            <w:pPr>
              <w:jc w:val="center"/>
            </w:pPr>
            <w:r>
              <w:rPr>
                <w:rFonts w:ascii="Times New Roman" w:hAnsi="Times New Roman"/>
                <w:sz w:val="20"/>
              </w:rPr>
              <w:t>Framework de testes unitários (compatível com Vite)</w:t>
            </w:r>
          </w:p>
        </w:tc>
      </w:tr>
      <w:tr>
        <w:tc>
          <w:tcPr>
            <w:tcW w:type="dxa" w:w="3041"/>
          </w:tcPr>
          <w:p>
            <w:pPr>
              <w:jc w:val="center"/>
            </w:pPr>
            <w:r>
              <w:rPr>
                <w:rFonts w:ascii="Times New Roman" w:hAnsi="Times New Roman"/>
                <w:sz w:val="20"/>
              </w:rPr>
              <w:t>@vitest/coverage-v8</w:t>
            </w:r>
          </w:p>
        </w:tc>
        <w:tc>
          <w:tcPr>
            <w:tcW w:type="dxa" w:w="3041"/>
          </w:tcPr>
          <w:p>
            <w:pPr>
              <w:jc w:val="center"/>
            </w:pPr>
            <w:r>
              <w:rPr>
                <w:rFonts w:ascii="Times New Roman" w:hAnsi="Times New Roman"/>
                <w:sz w:val="20"/>
              </w:rPr>
              <w:t>3.2.4</w:t>
            </w:r>
          </w:p>
        </w:tc>
        <w:tc>
          <w:tcPr>
            <w:tcW w:type="dxa" w:w="3041"/>
          </w:tcPr>
          <w:p>
            <w:pPr>
              <w:jc w:val="center"/>
            </w:pPr>
            <w:r>
              <w:rPr>
                <w:rFonts w:ascii="Times New Roman" w:hAnsi="Times New Roman"/>
                <w:sz w:val="20"/>
              </w:rPr>
              <w:t>Provedor de cobertura de código (engine V8)</w:t>
            </w:r>
          </w:p>
        </w:tc>
      </w:tr>
      <w:tr>
        <w:tc>
          <w:tcPr>
            <w:tcW w:type="dxa" w:w="3041"/>
          </w:tcPr>
          <w:p>
            <w:pPr>
              <w:jc w:val="center"/>
            </w:pPr>
            <w:r>
              <w:rPr>
                <w:rFonts w:ascii="Times New Roman" w:hAnsi="Times New Roman"/>
                <w:sz w:val="20"/>
              </w:rPr>
              <w:t>Node.js</w:t>
            </w:r>
          </w:p>
        </w:tc>
        <w:tc>
          <w:tcPr>
            <w:tcW w:type="dxa" w:w="3041"/>
          </w:tcPr>
          <w:p>
            <w:pPr>
              <w:jc w:val="center"/>
            </w:pPr>
            <w:r>
              <w:rPr>
                <w:rFonts w:ascii="Times New Roman" w:hAnsi="Times New Roman"/>
                <w:sz w:val="20"/>
              </w:rPr>
              <w:t>24.x</w:t>
            </w:r>
          </w:p>
        </w:tc>
        <w:tc>
          <w:tcPr>
            <w:tcW w:type="dxa" w:w="3041"/>
          </w:tcPr>
          <w:p>
            <w:pPr>
              <w:jc w:val="center"/>
            </w:pPr>
            <w:r>
              <w:rPr>
                <w:rFonts w:ascii="Times New Roman" w:hAnsi="Times New Roman"/>
                <w:sz w:val="20"/>
              </w:rPr>
              <w:t>Runtime de execução dos testes</w:t>
            </w:r>
          </w:p>
        </w:tc>
      </w:tr>
    </w:tbl>
    <w:p>
      <w:pPr>
        <w:pStyle w:val="Heading2"/>
      </w:pPr>
      <w:r>
        <w:rPr>
          <w:color w:val="16213E"/>
        </w:rPr>
        <w:t>1.4 Como Executar</w:t>
      </w:r>
    </w:p>
    <w:p>
      <w:pPr>
        <w:spacing w:before="0" w:after="0" w:line="240" w:lineRule="auto"/>
      </w:pPr>
      <w:r>
        <w:rPr>
          <w:rFonts w:ascii="Courier New" w:hAnsi="Courier New"/>
          <w:sz w:val="18"/>
        </w:rPr>
        <w:t># Instalar dependências</w:t>
      </w:r>
    </w:p>
    <w:p>
      <w:pPr>
        <w:spacing w:before="0" w:after="0" w:line="240" w:lineRule="auto"/>
      </w:pPr>
      <w:r>
        <w:rPr>
          <w:rFonts w:ascii="Courier New" w:hAnsi="Courier New"/>
          <w:sz w:val="18"/>
        </w:rPr>
        <w:t>npm install</w:t>
      </w:r>
    </w:p>
    <w:p>
      <w:pPr>
        <w:spacing w:before="0" w:after="0" w:line="240" w:lineRule="auto"/>
      </w:pPr>
      <w:r>
        <w:rPr>
          <w:rFonts w:ascii="Courier New" w:hAnsi="Courier New"/>
          <w:sz w:val="18"/>
        </w:rPr>
      </w:r>
    </w:p>
    <w:p>
      <w:pPr>
        <w:spacing w:before="0" w:after="0" w:line="240" w:lineRule="auto"/>
      </w:pPr>
      <w:r>
        <w:rPr>
          <w:rFonts w:ascii="Courier New" w:hAnsi="Courier New"/>
          <w:sz w:val="18"/>
        </w:rPr>
        <w:t># Executar todos os testes</w:t>
      </w:r>
    </w:p>
    <w:p>
      <w:pPr>
        <w:spacing w:before="0" w:after="0" w:line="240" w:lineRule="auto"/>
      </w:pPr>
      <w:r>
        <w:rPr>
          <w:rFonts w:ascii="Courier New" w:hAnsi="Courier New"/>
          <w:sz w:val="18"/>
        </w:rPr>
        <w:t>npm test</w:t>
      </w:r>
    </w:p>
    <w:p>
      <w:pPr>
        <w:spacing w:before="0" w:after="0" w:line="240" w:lineRule="auto"/>
      </w:pPr>
      <w:r>
        <w:rPr>
          <w:rFonts w:ascii="Courier New" w:hAnsi="Courier New"/>
          <w:sz w:val="18"/>
        </w:rPr>
      </w:r>
    </w:p>
    <w:p>
      <w:pPr>
        <w:spacing w:before="0" w:after="0" w:line="240" w:lineRule="auto"/>
      </w:pPr>
      <w:r>
        <w:rPr>
          <w:rFonts w:ascii="Courier New" w:hAnsi="Courier New"/>
          <w:sz w:val="18"/>
        </w:rPr>
        <w:t># Executar com relatório de cobertura</w:t>
      </w:r>
    </w:p>
    <w:p>
      <w:pPr>
        <w:spacing w:before="0" w:after="0" w:line="240" w:lineRule="auto"/>
      </w:pPr>
      <w:r>
        <w:rPr>
          <w:rFonts w:ascii="Courier New" w:hAnsi="Courier New"/>
          <w:sz w:val="18"/>
        </w:rPr>
        <w:t>npm run test:coverage</w:t>
      </w:r>
    </w:p>
    <w:p>
      <w:pPr>
        <w:spacing w:before="0" w:after="0" w:line="240" w:lineRule="auto"/>
      </w:pPr>
      <w:r>
        <w:rPr>
          <w:rFonts w:ascii="Courier New" w:hAnsi="Courier New"/>
          <w:sz w:val="18"/>
        </w:rPr>
      </w:r>
    </w:p>
    <w:p>
      <w:pPr>
        <w:spacing w:before="0" w:after="0" w:line="240" w:lineRule="auto"/>
      </w:pPr>
      <w:r>
        <w:rPr>
          <w:rFonts w:ascii="Courier New" w:hAnsi="Courier New"/>
          <w:sz w:val="18"/>
        </w:rPr>
        <w:t># Modo watch (desenvolvimento)</w:t>
      </w:r>
    </w:p>
    <w:p>
      <w:pPr>
        <w:spacing w:before="0" w:after="0" w:line="240" w:lineRule="auto"/>
      </w:pPr>
      <w:r>
        <w:rPr>
          <w:rFonts w:ascii="Courier New" w:hAnsi="Courier New"/>
          <w:sz w:val="18"/>
        </w:rPr>
        <w:t>npm run test:watch</w:t>
      </w:r>
    </w:p>
    <w:p>
      <w:r>
        <w:br w:type="page"/>
      </w:r>
    </w:p>
    <w:p>
      <w:pPr>
        <w:pStyle w:val="Heading1"/>
      </w:pPr>
      <w:r>
        <w:rPr>
          <w:color w:val="16213E"/>
        </w:rPr>
        <w:t>2. Relatório de Cobertura de Código</w:t>
      </w:r>
    </w:p>
    <w:p>
      <w:pPr>
        <w:pStyle w:val="Heading2"/>
      </w:pPr>
      <w:r>
        <w:rPr>
          <w:color w:val="16213E"/>
        </w:rPr>
        <w:t>2.1 Resumo Geral</w:t>
      </w:r>
    </w:p>
    <w:p>
      <w:pPr>
        <w:jc w:val="both"/>
      </w:pPr>
      <w:r>
        <w:rPr>
          <w:rFonts w:ascii="Times New Roman" w:hAnsi="Times New Roman"/>
          <w:b w:val="0"/>
          <w:i w:val="0"/>
          <w:sz w:val="24"/>
        </w:rPr>
        <w:t>A cobertura foi gerada com o provedor V8 do Vitest, que instrumenta o código diretamente na engine JavaScript. Os resultados refletem a execução de 121 testes distribuídos em 5 arquivos de teste, todos passando com sucesso.</w:t>
      </w:r>
    </w:p>
    <w:tbl>
      <w:tblPr>
        <w:tblStyle w:val="TableGrid"/>
        <w:tblW w:type="auto" w:w="0"/>
        <w:jc w:val="center"/>
        <w:tblLook w:firstColumn="1" w:firstRow="1" w:lastColumn="0" w:lastRow="0" w:noHBand="0" w:noVBand="1" w:val="04A0"/>
      </w:tblPr>
      <w:tblGrid>
        <w:gridCol w:w="4561"/>
        <w:gridCol w:w="4561"/>
      </w:tblGrid>
      <w:tr>
        <w:tc>
          <w:tcPr>
            <w:tcW w:type="dxa" w:w="4561"/>
            <w:shd w:fill="16213e" w:val="clear"/>
          </w:tcPr>
          <w:p>
            <w:pPr>
              <w:jc w:val="center"/>
            </w:pPr>
            <w:r>
              <w:rPr>
                <w:rFonts w:ascii="Times New Roman" w:hAnsi="Times New Roman"/>
                <w:b/>
                <w:color w:val="FFFFFF"/>
                <w:sz w:val="20"/>
              </w:rPr>
              <w:t>Métrica</w:t>
            </w:r>
          </w:p>
        </w:tc>
        <w:tc>
          <w:tcPr>
            <w:tcW w:type="dxa" w:w="4561"/>
            <w:shd w:fill="16213e" w:val="clear"/>
          </w:tcPr>
          <w:p>
            <w:pPr>
              <w:jc w:val="center"/>
            </w:pPr>
            <w:r>
              <w:rPr>
                <w:rFonts w:ascii="Times New Roman" w:hAnsi="Times New Roman"/>
                <w:b/>
                <w:color w:val="FFFFFF"/>
                <w:sz w:val="20"/>
              </w:rPr>
              <w:t>Resultado</w:t>
            </w:r>
          </w:p>
        </w:tc>
      </w:tr>
      <w:tr>
        <w:tc>
          <w:tcPr>
            <w:tcW w:type="dxa" w:w="4561"/>
          </w:tcPr>
          <w:p>
            <w:pPr>
              <w:jc w:val="center"/>
            </w:pPr>
            <w:r>
              <w:rPr>
                <w:rFonts w:ascii="Times New Roman" w:hAnsi="Times New Roman"/>
                <w:sz w:val="20"/>
              </w:rPr>
              <w:t>Total de testes</w:t>
            </w:r>
          </w:p>
        </w:tc>
        <w:tc>
          <w:tcPr>
            <w:tcW w:type="dxa" w:w="4561"/>
          </w:tcPr>
          <w:p>
            <w:pPr>
              <w:jc w:val="center"/>
            </w:pPr>
            <w:r>
              <w:rPr>
                <w:rFonts w:ascii="Times New Roman" w:hAnsi="Times New Roman"/>
                <w:sz w:val="20"/>
              </w:rPr>
              <w:t>121</w:t>
            </w:r>
          </w:p>
        </w:tc>
      </w:tr>
      <w:tr>
        <w:tc>
          <w:tcPr>
            <w:tcW w:type="dxa" w:w="4561"/>
          </w:tcPr>
          <w:p>
            <w:pPr>
              <w:jc w:val="center"/>
            </w:pPr>
            <w:r>
              <w:rPr>
                <w:rFonts w:ascii="Times New Roman" w:hAnsi="Times New Roman"/>
                <w:sz w:val="20"/>
              </w:rPr>
              <w:t>Testes passando</w:t>
            </w:r>
          </w:p>
        </w:tc>
        <w:tc>
          <w:tcPr>
            <w:tcW w:type="dxa" w:w="4561"/>
          </w:tcPr>
          <w:p>
            <w:pPr>
              <w:jc w:val="center"/>
            </w:pPr>
            <w:r>
              <w:rPr>
                <w:rFonts w:ascii="Times New Roman" w:hAnsi="Times New Roman"/>
                <w:sz w:val="20"/>
              </w:rPr>
              <w:t>121 (100%)</w:t>
            </w:r>
          </w:p>
        </w:tc>
      </w:tr>
      <w:tr>
        <w:tc>
          <w:tcPr>
            <w:tcW w:type="dxa" w:w="4561"/>
          </w:tcPr>
          <w:p>
            <w:pPr>
              <w:jc w:val="center"/>
            </w:pPr>
            <w:r>
              <w:rPr>
                <w:rFonts w:ascii="Times New Roman" w:hAnsi="Times New Roman"/>
                <w:sz w:val="20"/>
              </w:rPr>
              <w:t>Testes falhando</w:t>
            </w:r>
          </w:p>
        </w:tc>
        <w:tc>
          <w:tcPr>
            <w:tcW w:type="dxa" w:w="4561"/>
          </w:tcPr>
          <w:p>
            <w:pPr>
              <w:jc w:val="center"/>
            </w:pPr>
            <w:r>
              <w:rPr>
                <w:rFonts w:ascii="Times New Roman" w:hAnsi="Times New Roman"/>
                <w:sz w:val="20"/>
              </w:rPr>
              <w:t>0</w:t>
            </w:r>
          </w:p>
        </w:tc>
      </w:tr>
      <w:tr>
        <w:tc>
          <w:tcPr>
            <w:tcW w:type="dxa" w:w="4561"/>
          </w:tcPr>
          <w:p>
            <w:pPr>
              <w:jc w:val="center"/>
            </w:pPr>
            <w:r>
              <w:rPr>
                <w:rFonts w:ascii="Times New Roman" w:hAnsi="Times New Roman"/>
                <w:sz w:val="20"/>
              </w:rPr>
              <w:t>Arquivos de teste</w:t>
            </w:r>
          </w:p>
        </w:tc>
        <w:tc>
          <w:tcPr>
            <w:tcW w:type="dxa" w:w="4561"/>
          </w:tcPr>
          <w:p>
            <w:pPr>
              <w:jc w:val="center"/>
            </w:pPr>
            <w:r>
              <w:rPr>
                <w:rFonts w:ascii="Times New Roman" w:hAnsi="Times New Roman"/>
                <w:sz w:val="20"/>
              </w:rPr>
              <w:t>5</w:t>
            </w:r>
          </w:p>
        </w:tc>
      </w:tr>
      <w:tr>
        <w:tc>
          <w:tcPr>
            <w:tcW w:type="dxa" w:w="4561"/>
          </w:tcPr>
          <w:p>
            <w:pPr>
              <w:jc w:val="center"/>
            </w:pPr>
            <w:r>
              <w:rPr>
                <w:rFonts w:ascii="Times New Roman" w:hAnsi="Times New Roman"/>
                <w:sz w:val="20"/>
              </w:rPr>
              <w:t>Tempo de execução</w:t>
            </w:r>
          </w:p>
        </w:tc>
        <w:tc>
          <w:tcPr>
            <w:tcW w:type="dxa" w:w="4561"/>
          </w:tcPr>
          <w:p>
            <w:pPr>
              <w:jc w:val="center"/>
            </w:pPr>
            <w:r>
              <w:rPr>
                <w:rFonts w:ascii="Times New Roman" w:hAnsi="Times New Roman"/>
                <w:sz w:val="20"/>
              </w:rPr>
              <w:t>1.34s</w:t>
            </w:r>
          </w:p>
        </w:tc>
      </w:tr>
    </w:tbl>
    <w:p>
      <w:pPr>
        <w:pStyle w:val="Heading2"/>
      </w:pPr>
      <w:r>
        <w:rPr>
          <w:color w:val="16213E"/>
        </w:rPr>
        <w:t>2.2 Cobertura por Arquivo</w:t>
      </w:r>
    </w:p>
    <w:tbl>
      <w:tblPr>
        <w:tblStyle w:val="TableGrid"/>
        <w:tblW w:type="auto" w:w="0"/>
        <w:jc w:val="center"/>
        <w:tblLook w:firstColumn="1" w:firstRow="1" w:lastColumn="0" w:lastRow="0" w:noHBand="0" w:noVBand="1" w:val="04A0"/>
      </w:tblPr>
      <w:tblGrid>
        <w:gridCol w:w="1520"/>
        <w:gridCol w:w="1520"/>
        <w:gridCol w:w="1520"/>
        <w:gridCol w:w="1520"/>
        <w:gridCol w:w="1520"/>
        <w:gridCol w:w="1520"/>
      </w:tblGrid>
      <w:tr>
        <w:tc>
          <w:tcPr>
            <w:tcW w:type="dxa" w:w="1520"/>
            <w:shd w:fill="16213e" w:val="clear"/>
          </w:tcPr>
          <w:p>
            <w:pPr>
              <w:jc w:val="center"/>
            </w:pPr>
            <w:r>
              <w:rPr>
                <w:rFonts w:ascii="Times New Roman" w:hAnsi="Times New Roman"/>
                <w:b/>
                <w:color w:val="FFFFFF"/>
                <w:sz w:val="20"/>
              </w:rPr>
              <w:t>Arquivo</w:t>
            </w:r>
          </w:p>
        </w:tc>
        <w:tc>
          <w:tcPr>
            <w:tcW w:type="dxa" w:w="1520"/>
            <w:shd w:fill="16213e" w:val="clear"/>
          </w:tcPr>
          <w:p>
            <w:pPr>
              <w:jc w:val="center"/>
            </w:pPr>
            <w:r>
              <w:rPr>
                <w:rFonts w:ascii="Times New Roman" w:hAnsi="Times New Roman"/>
                <w:b/>
                <w:color w:val="FFFFFF"/>
                <w:sz w:val="20"/>
              </w:rPr>
              <w:t>Statements</w:t>
            </w:r>
          </w:p>
        </w:tc>
        <w:tc>
          <w:tcPr>
            <w:tcW w:type="dxa" w:w="1520"/>
            <w:shd w:fill="16213e" w:val="clear"/>
          </w:tcPr>
          <w:p>
            <w:pPr>
              <w:jc w:val="center"/>
            </w:pPr>
            <w:r>
              <w:rPr>
                <w:rFonts w:ascii="Times New Roman" w:hAnsi="Times New Roman"/>
                <w:b/>
                <w:color w:val="FFFFFF"/>
                <w:sz w:val="20"/>
              </w:rPr>
              <w:t>Branches</w:t>
            </w:r>
          </w:p>
        </w:tc>
        <w:tc>
          <w:tcPr>
            <w:tcW w:type="dxa" w:w="1520"/>
            <w:shd w:fill="16213e" w:val="clear"/>
          </w:tcPr>
          <w:p>
            <w:pPr>
              <w:jc w:val="center"/>
            </w:pPr>
            <w:r>
              <w:rPr>
                <w:rFonts w:ascii="Times New Roman" w:hAnsi="Times New Roman"/>
                <w:b/>
                <w:color w:val="FFFFFF"/>
                <w:sz w:val="20"/>
              </w:rPr>
              <w:t>Functions</w:t>
            </w:r>
          </w:p>
        </w:tc>
        <w:tc>
          <w:tcPr>
            <w:tcW w:type="dxa" w:w="1520"/>
            <w:shd w:fill="16213e" w:val="clear"/>
          </w:tcPr>
          <w:p>
            <w:pPr>
              <w:jc w:val="center"/>
            </w:pPr>
            <w:r>
              <w:rPr>
                <w:rFonts w:ascii="Times New Roman" w:hAnsi="Times New Roman"/>
                <w:b/>
                <w:color w:val="FFFFFF"/>
                <w:sz w:val="20"/>
              </w:rPr>
              <w:t>Lines</w:t>
            </w:r>
          </w:p>
        </w:tc>
        <w:tc>
          <w:tcPr>
            <w:tcW w:type="dxa" w:w="1520"/>
            <w:shd w:fill="16213e" w:val="clear"/>
          </w:tcPr>
          <w:p>
            <w:pPr>
              <w:jc w:val="center"/>
            </w:pPr>
            <w:r>
              <w:rPr>
                <w:rFonts w:ascii="Times New Roman" w:hAnsi="Times New Roman"/>
                <w:b/>
                <w:color w:val="FFFFFF"/>
                <w:sz w:val="20"/>
              </w:rPr>
              <w:t>Linhas Não Cobertas</w:t>
            </w:r>
          </w:p>
        </w:tc>
      </w:tr>
      <w:tr>
        <w:tc>
          <w:tcPr>
            <w:tcW w:type="dxa" w:w="1520"/>
          </w:tcPr>
          <w:p>
            <w:pPr>
              <w:jc w:val="center"/>
            </w:pPr>
            <w:r>
              <w:rPr>
                <w:rFonts w:ascii="Times New Roman" w:hAnsi="Times New Roman"/>
                <w:sz w:val="20"/>
              </w:rPr>
              <w:t>validators.js</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w:t>
            </w:r>
          </w:p>
        </w:tc>
      </w:tr>
      <w:tr>
        <w:tc>
          <w:tcPr>
            <w:tcW w:type="dxa" w:w="1520"/>
          </w:tcPr>
          <w:p>
            <w:pPr>
              <w:jc w:val="center"/>
            </w:pPr>
            <w:r>
              <w:rPr>
                <w:rFonts w:ascii="Times New Roman" w:hAnsi="Times New Roman"/>
                <w:sz w:val="20"/>
              </w:rPr>
              <w:t>cases.js</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w:t>
            </w:r>
          </w:p>
        </w:tc>
      </w:tr>
      <w:tr>
        <w:tc>
          <w:tcPr>
            <w:tcW w:type="dxa" w:w="1520"/>
          </w:tcPr>
          <w:p>
            <w:pPr>
              <w:jc w:val="center"/>
            </w:pPr>
            <w:r>
              <w:rPr>
                <w:rFonts w:ascii="Times New Roman" w:hAnsi="Times New Roman"/>
                <w:sz w:val="20"/>
              </w:rPr>
              <w:t>html.js</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w:t>
            </w:r>
          </w:p>
        </w:tc>
      </w:tr>
      <w:tr>
        <w:tc>
          <w:tcPr>
            <w:tcW w:type="dxa" w:w="1520"/>
          </w:tcPr>
          <w:p>
            <w:pPr>
              <w:jc w:val="center"/>
            </w:pPr>
            <w:r>
              <w:rPr>
                <w:rFonts w:ascii="Times New Roman" w:hAnsi="Times New Roman"/>
                <w:sz w:val="20"/>
              </w:rPr>
              <w:t>files.js</w:t>
            </w:r>
          </w:p>
        </w:tc>
        <w:tc>
          <w:tcPr>
            <w:tcW w:type="dxa" w:w="1520"/>
          </w:tcPr>
          <w:p>
            <w:pPr>
              <w:jc w:val="center"/>
            </w:pPr>
            <w:r>
              <w:rPr>
                <w:rFonts w:ascii="Times New Roman" w:hAnsi="Times New Roman"/>
                <w:sz w:val="20"/>
              </w:rPr>
              <w:t>83,07%</w:t>
            </w:r>
          </w:p>
        </w:tc>
        <w:tc>
          <w:tcPr>
            <w:tcW w:type="dxa" w:w="1520"/>
          </w:tcPr>
          <w:p>
            <w:pPr>
              <w:jc w:val="center"/>
            </w:pPr>
            <w:r>
              <w:rPr>
                <w:rFonts w:ascii="Times New Roman" w:hAnsi="Times New Roman"/>
                <w:sz w:val="20"/>
              </w:rPr>
              <w:t>86,66%</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83,07%</w:t>
            </w:r>
          </w:p>
        </w:tc>
        <w:tc>
          <w:tcPr>
            <w:tcW w:type="dxa" w:w="1520"/>
          </w:tcPr>
          <w:p>
            <w:pPr>
              <w:jc w:val="center"/>
            </w:pPr>
            <w:r>
              <w:rPr>
                <w:rFonts w:ascii="Times New Roman" w:hAnsi="Times New Roman"/>
                <w:sz w:val="20"/>
              </w:rPr>
              <w:t>63–73</w:t>
            </w:r>
          </w:p>
        </w:tc>
      </w:tr>
      <w:tr>
        <w:tc>
          <w:tcPr>
            <w:tcW w:type="dxa" w:w="1520"/>
          </w:tcPr>
          <w:p>
            <w:pPr>
              <w:jc w:val="center"/>
            </w:pPr>
            <w:r>
              <w:rPr>
                <w:rFonts w:ascii="Times New Roman" w:hAnsi="Times New Roman"/>
                <w:sz w:val="20"/>
              </w:rPr>
              <w:t>storage.js</w:t>
            </w:r>
          </w:p>
        </w:tc>
        <w:tc>
          <w:tcPr>
            <w:tcW w:type="dxa" w:w="1520"/>
          </w:tcPr>
          <w:p>
            <w:pPr>
              <w:jc w:val="center"/>
            </w:pPr>
            <w:r>
              <w:rPr>
                <w:rFonts w:ascii="Times New Roman" w:hAnsi="Times New Roman"/>
                <w:sz w:val="20"/>
              </w:rPr>
              <w:t>97,14%</w:t>
            </w:r>
          </w:p>
        </w:tc>
        <w:tc>
          <w:tcPr>
            <w:tcW w:type="dxa" w:w="1520"/>
          </w:tcPr>
          <w:p>
            <w:pPr>
              <w:jc w:val="center"/>
            </w:pPr>
            <w:r>
              <w:rPr>
                <w:rFonts w:ascii="Times New Roman" w:hAnsi="Times New Roman"/>
                <w:sz w:val="20"/>
              </w:rPr>
              <w:t>80%</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97,14%</w:t>
            </w:r>
          </w:p>
        </w:tc>
        <w:tc>
          <w:tcPr>
            <w:tcW w:type="dxa" w:w="1520"/>
          </w:tcPr>
          <w:p>
            <w:pPr>
              <w:jc w:val="center"/>
            </w:pPr>
            <w:r>
              <w:rPr>
                <w:rFonts w:ascii="Times New Roman" w:hAnsi="Times New Roman"/>
                <w:sz w:val="20"/>
              </w:rPr>
              <w:t>16–17</w:t>
            </w:r>
          </w:p>
        </w:tc>
      </w:tr>
      <w:tr>
        <w:tc>
          <w:tcPr>
            <w:tcW w:type="dxa" w:w="1520"/>
          </w:tcPr>
          <w:p>
            <w:pPr>
              <w:jc w:val="center"/>
            </w:pPr>
            <w:r>
              <w:rPr>
                <w:rFonts w:ascii="Times New Roman" w:hAnsi="Times New Roman"/>
                <w:sz w:val="20"/>
              </w:rPr>
              <w:t>TOTAL</w:t>
            </w:r>
          </w:p>
        </w:tc>
        <w:tc>
          <w:tcPr>
            <w:tcW w:type="dxa" w:w="1520"/>
          </w:tcPr>
          <w:p>
            <w:pPr>
              <w:jc w:val="center"/>
            </w:pPr>
            <w:r>
              <w:rPr>
                <w:rFonts w:ascii="Times New Roman" w:hAnsi="Times New Roman"/>
                <w:sz w:val="20"/>
              </w:rPr>
              <w:t>94,69%</w:t>
            </w:r>
          </w:p>
        </w:tc>
        <w:tc>
          <w:tcPr>
            <w:tcW w:type="dxa" w:w="1520"/>
          </w:tcPr>
          <w:p>
            <w:pPr>
              <w:jc w:val="center"/>
            </w:pPr>
            <w:r>
              <w:rPr>
                <w:rFonts w:ascii="Times New Roman" w:hAnsi="Times New Roman"/>
                <w:sz w:val="20"/>
              </w:rPr>
              <w:t>91,76%</w:t>
            </w:r>
          </w:p>
        </w:tc>
        <w:tc>
          <w:tcPr>
            <w:tcW w:type="dxa" w:w="1520"/>
          </w:tcPr>
          <w:p>
            <w:pPr>
              <w:jc w:val="center"/>
            </w:pPr>
            <w:r>
              <w:rPr>
                <w:rFonts w:ascii="Times New Roman" w:hAnsi="Times New Roman"/>
                <w:sz w:val="20"/>
              </w:rPr>
              <w:t>100%</w:t>
            </w:r>
          </w:p>
        </w:tc>
        <w:tc>
          <w:tcPr>
            <w:tcW w:type="dxa" w:w="1520"/>
          </w:tcPr>
          <w:p>
            <w:pPr>
              <w:jc w:val="center"/>
            </w:pPr>
            <w:r>
              <w:rPr>
                <w:rFonts w:ascii="Times New Roman" w:hAnsi="Times New Roman"/>
                <w:sz w:val="20"/>
              </w:rPr>
              <w:t>94,69%</w:t>
            </w:r>
          </w:p>
        </w:tc>
        <w:tc>
          <w:tcPr>
            <w:tcW w:type="dxa" w:w="1520"/>
          </w:tcPr>
          <w:p>
            <w:pPr>
              <w:jc w:val="center"/>
            </w:pPr>
            <w:r>
              <w:rPr>
                <w:rFonts w:ascii="Times New Roman" w:hAnsi="Times New Roman"/>
                <w:sz w:val="20"/>
              </w:rPr>
              <w:t>—</w:t>
            </w:r>
          </w:p>
        </w:tc>
      </w:tr>
    </w:tbl>
    <w:p>
      <w:pPr>
        <w:pStyle w:val="Heading2"/>
      </w:pPr>
      <w:r>
        <w:rPr>
          <w:color w:val="16213E"/>
        </w:rPr>
        <w:t>2.3 Distribuição de Testes por Módulo</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6213e" w:val="clear"/>
          </w:tcPr>
          <w:p>
            <w:pPr>
              <w:jc w:val="center"/>
            </w:pPr>
            <w:r>
              <w:rPr>
                <w:rFonts w:ascii="Times New Roman" w:hAnsi="Times New Roman"/>
                <w:b/>
                <w:color w:val="FFFFFF"/>
                <w:sz w:val="20"/>
              </w:rPr>
              <w:t>Arquivo de Teste</w:t>
            </w:r>
          </w:p>
        </w:tc>
        <w:tc>
          <w:tcPr>
            <w:tcW w:type="dxa" w:w="3041"/>
            <w:shd w:fill="16213e" w:val="clear"/>
          </w:tcPr>
          <w:p>
            <w:pPr>
              <w:jc w:val="center"/>
            </w:pPr>
            <w:r>
              <w:rPr>
                <w:rFonts w:ascii="Times New Roman" w:hAnsi="Times New Roman"/>
                <w:b/>
                <w:color w:val="FFFFFF"/>
                <w:sz w:val="20"/>
              </w:rPr>
              <w:t>Qtd. Testes</w:t>
            </w:r>
          </w:p>
        </w:tc>
        <w:tc>
          <w:tcPr>
            <w:tcW w:type="dxa" w:w="3041"/>
            <w:shd w:fill="16213e" w:val="clear"/>
          </w:tcPr>
          <w:p>
            <w:pPr>
              <w:jc w:val="center"/>
            </w:pPr>
            <w:r>
              <w:rPr>
                <w:rFonts w:ascii="Times New Roman" w:hAnsi="Times New Roman"/>
                <w:b/>
                <w:color w:val="FFFFFF"/>
                <w:sz w:val="20"/>
              </w:rPr>
              <w:t>Cenários Cobertos</w:t>
            </w:r>
          </w:p>
        </w:tc>
      </w:tr>
      <w:tr>
        <w:tc>
          <w:tcPr>
            <w:tcW w:type="dxa" w:w="3041"/>
          </w:tcPr>
          <w:p>
            <w:pPr>
              <w:jc w:val="center"/>
            </w:pPr>
            <w:r>
              <w:rPr>
                <w:rFonts w:ascii="Times New Roman" w:hAnsi="Times New Roman"/>
                <w:sz w:val="20"/>
              </w:rPr>
              <w:t>validators.test.js</w:t>
            </w:r>
          </w:p>
        </w:tc>
        <w:tc>
          <w:tcPr>
            <w:tcW w:type="dxa" w:w="3041"/>
          </w:tcPr>
          <w:p>
            <w:pPr>
              <w:jc w:val="center"/>
            </w:pPr>
            <w:r>
              <w:rPr>
                <w:rFonts w:ascii="Times New Roman" w:hAnsi="Times New Roman"/>
                <w:sz w:val="20"/>
              </w:rPr>
              <w:t>65</w:t>
            </w:r>
          </w:p>
        </w:tc>
        <w:tc>
          <w:tcPr>
            <w:tcW w:type="dxa" w:w="3041"/>
          </w:tcPr>
          <w:p>
            <w:pPr>
              <w:jc w:val="center"/>
            </w:pPr>
            <w:r>
              <w:rPr>
                <w:rFonts w:ascii="Times New Roman" w:hAnsi="Times New Roman"/>
                <w:sz w:val="20"/>
              </w:rPr>
              <w:t>E-mail, senha, CNJ, campos de auth, erros de API</w:t>
            </w:r>
          </w:p>
        </w:tc>
      </w:tr>
      <w:tr>
        <w:tc>
          <w:tcPr>
            <w:tcW w:type="dxa" w:w="3041"/>
          </w:tcPr>
          <w:p>
            <w:pPr>
              <w:jc w:val="center"/>
            </w:pPr>
            <w:r>
              <w:rPr>
                <w:rFonts w:ascii="Times New Roman" w:hAnsi="Times New Roman"/>
                <w:sz w:val="20"/>
              </w:rPr>
              <w:t>files.test.js</w:t>
            </w:r>
          </w:p>
        </w:tc>
        <w:tc>
          <w:tcPr>
            <w:tcW w:type="dxa" w:w="3041"/>
          </w:tcPr>
          <w:p>
            <w:pPr>
              <w:jc w:val="center"/>
            </w:pPr>
            <w:r>
              <w:rPr>
                <w:rFonts w:ascii="Times New Roman" w:hAnsi="Times New Roman"/>
                <w:sz w:val="20"/>
              </w:rPr>
              <w:t>23</w:t>
            </w:r>
          </w:p>
        </w:tc>
        <w:tc>
          <w:tcPr>
            <w:tcW w:type="dxa" w:w="3041"/>
          </w:tcPr>
          <w:p>
            <w:pPr>
              <w:jc w:val="center"/>
            </w:pPr>
            <w:r>
              <w:rPr>
                <w:rFonts w:ascii="Times New Roman" w:hAnsi="Times New Roman"/>
                <w:sz w:val="20"/>
              </w:rPr>
              <w:t>Extensão, MIME, tamanho, normalização, constantes</w:t>
            </w:r>
          </w:p>
        </w:tc>
      </w:tr>
      <w:tr>
        <w:tc>
          <w:tcPr>
            <w:tcW w:type="dxa" w:w="3041"/>
          </w:tcPr>
          <w:p>
            <w:pPr>
              <w:jc w:val="center"/>
            </w:pPr>
            <w:r>
              <w:rPr>
                <w:rFonts w:ascii="Times New Roman" w:hAnsi="Times New Roman"/>
                <w:sz w:val="20"/>
              </w:rPr>
              <w:t>storage.test.js</w:t>
            </w:r>
          </w:p>
        </w:tc>
        <w:tc>
          <w:tcPr>
            <w:tcW w:type="dxa" w:w="3041"/>
          </w:tcPr>
          <w:p>
            <w:pPr>
              <w:jc w:val="center"/>
            </w:pPr>
            <w:r>
              <w:rPr>
                <w:rFonts w:ascii="Times New Roman" w:hAnsi="Times New Roman"/>
                <w:sz w:val="20"/>
              </w:rPr>
              <w:t>15</w:t>
            </w:r>
          </w:p>
        </w:tc>
        <w:tc>
          <w:tcPr>
            <w:tcW w:type="dxa" w:w="3041"/>
          </w:tcPr>
          <w:p>
            <w:pPr>
              <w:jc w:val="center"/>
            </w:pPr>
            <w:r>
              <w:rPr>
                <w:rFonts w:ascii="Times New Roman" w:hAnsi="Times New Roman"/>
                <w:sz w:val="20"/>
              </w:rPr>
              <w:t>Rascunho, sessão, JSON inválido, segurança</w:t>
            </w:r>
          </w:p>
        </w:tc>
      </w:tr>
      <w:tr>
        <w:tc>
          <w:tcPr>
            <w:tcW w:type="dxa" w:w="3041"/>
          </w:tcPr>
          <w:p>
            <w:pPr>
              <w:jc w:val="center"/>
            </w:pPr>
            <w:r>
              <w:rPr>
                <w:rFonts w:ascii="Times New Roman" w:hAnsi="Times New Roman"/>
                <w:sz w:val="20"/>
              </w:rPr>
              <w:t>html.test.js</w:t>
            </w:r>
          </w:p>
        </w:tc>
        <w:tc>
          <w:tcPr>
            <w:tcW w:type="dxa" w:w="3041"/>
          </w:tcPr>
          <w:p>
            <w:pPr>
              <w:jc w:val="center"/>
            </w:pPr>
            <w:r>
              <w:rPr>
                <w:rFonts w:ascii="Times New Roman" w:hAnsi="Times New Roman"/>
                <w:sz w:val="20"/>
              </w:rPr>
              <w:t>11</w:t>
            </w:r>
          </w:p>
        </w:tc>
        <w:tc>
          <w:tcPr>
            <w:tcW w:type="dxa" w:w="3041"/>
          </w:tcPr>
          <w:p>
            <w:pPr>
              <w:jc w:val="center"/>
            </w:pPr>
            <w:r>
              <w:rPr>
                <w:rFonts w:ascii="Times New Roman" w:hAnsi="Times New Roman"/>
                <w:sz w:val="20"/>
              </w:rPr>
              <w:t>Escape de caracteres, XSS com script/onerror</w:t>
            </w:r>
          </w:p>
        </w:tc>
      </w:tr>
      <w:tr>
        <w:tc>
          <w:tcPr>
            <w:tcW w:type="dxa" w:w="3041"/>
          </w:tcPr>
          <w:p>
            <w:pPr>
              <w:jc w:val="center"/>
            </w:pPr>
            <w:r>
              <w:rPr>
                <w:rFonts w:ascii="Times New Roman" w:hAnsi="Times New Roman"/>
                <w:sz w:val="20"/>
              </w:rPr>
              <w:t>cases.test.js</w:t>
            </w:r>
          </w:p>
        </w:tc>
        <w:tc>
          <w:tcPr>
            <w:tcW w:type="dxa" w:w="3041"/>
          </w:tcPr>
          <w:p>
            <w:pPr>
              <w:jc w:val="center"/>
            </w:pPr>
            <w:r>
              <w:rPr>
                <w:rFonts w:ascii="Times New Roman" w:hAnsi="Times New Roman"/>
                <w:sz w:val="20"/>
              </w:rPr>
              <w:t>7</w:t>
            </w:r>
          </w:p>
        </w:tc>
        <w:tc>
          <w:tcPr>
            <w:tcW w:type="dxa" w:w="3041"/>
          </w:tcPr>
          <w:p>
            <w:pPr>
              <w:jc w:val="center"/>
            </w:pPr>
            <w:r>
              <w:rPr>
                <w:rFonts w:ascii="Times New Roman" w:hAnsi="Times New Roman"/>
                <w:sz w:val="20"/>
              </w:rPr>
              <w:t>ID incremental, padding, ano fictício, formato inválido</w:t>
            </w:r>
          </w:p>
        </w:tc>
      </w:tr>
    </w:tbl>
    <w:p>
      <w:pPr>
        <w:pStyle w:val="Heading2"/>
      </w:pPr>
      <w:r>
        <w:rPr>
          <w:color w:val="16213E"/>
        </w:rPr>
        <w:t>2.4 Análise das Linhas Não Cobertas</w:t>
      </w:r>
    </w:p>
    <w:p>
      <w:pPr>
        <w:jc w:val="both"/>
      </w:pPr>
      <w:r>
        <w:rPr>
          <w:rFonts w:ascii="Times New Roman" w:hAnsi="Times New Roman"/>
          <w:b/>
          <w:i w:val="0"/>
          <w:sz w:val="24"/>
        </w:rPr>
        <w:t>files.js — Linhas 63 a 73 (função readFileAsBase64)</w:t>
      </w:r>
    </w:p>
    <w:p>
      <w:pPr>
        <w:jc w:val="both"/>
      </w:pPr>
      <w:r>
        <w:rPr>
          <w:rFonts w:ascii="Times New Roman" w:hAnsi="Times New Roman"/>
          <w:b w:val="0"/>
          <w:i w:val="0"/>
          <w:sz w:val="24"/>
        </w:rPr>
        <w:t>A função readFileAsBase64 utiliza a API FileReader do navegador para converter arquivos em base64. Como os testes rodam em ambiente Node.js (sem DOM real), não é possível instanciar um FileReader nativo. Os caminhos de null/undefined foram cobertos, mas o fluxo principal exigiria um ambiente jsdom ou happy-dom com mock de FileReader.</w:t>
      </w:r>
    </w:p>
    <w:p>
      <w:pPr>
        <w:jc w:val="both"/>
      </w:pPr>
      <w:r>
        <w:rPr>
          <w:rFonts w:ascii="Times New Roman" w:hAnsi="Times New Roman"/>
          <w:b/>
          <w:i w:val="0"/>
          <w:sz w:val="24"/>
        </w:rPr>
        <w:t>storage.js — Linhas 16 a 17 (guarda typeof window)</w:t>
      </w:r>
    </w:p>
    <w:p>
      <w:pPr>
        <w:jc w:val="both"/>
      </w:pPr>
      <w:r>
        <w:rPr>
          <w:rFonts w:ascii="Times New Roman" w:hAnsi="Times New Roman"/>
          <w:b w:val="0"/>
          <w:i w:val="0"/>
          <w:sz w:val="24"/>
        </w:rPr>
        <w:t>O branch typeof window === "undefined" protege o código contra execução em ambientes server-side (SSR). Como o ambiente de teste possui globalThis.window definido, o caminho do retorno antecipado não é atingido. Trata-se de uma guarda defensiva cujo teste exigiria manipulação do objeto global entre execuções.</w:t>
      </w:r>
    </w:p>
    <w:p>
      <w:r>
        <w:br w:type="page"/>
      </w:r>
    </w:p>
    <w:p>
      <w:pPr>
        <w:pStyle w:val="Heading1"/>
      </w:pPr>
      <w:r>
        <w:rPr>
          <w:color w:val="16213E"/>
        </w:rPr>
        <w:t>3. Análise Crítica</w:t>
      </w:r>
    </w:p>
    <w:p>
      <w:pPr>
        <w:pStyle w:val="Heading2"/>
      </w:pPr>
      <w:r>
        <w:rPr>
          <w:color w:val="16213E"/>
        </w:rPr>
        <w:t>3.1 Qualidade dos Testes Implementados</w:t>
      </w:r>
    </w:p>
    <w:p>
      <w:pPr>
        <w:jc w:val="both"/>
      </w:pPr>
      <w:r>
        <w:rPr>
          <w:rFonts w:ascii="Times New Roman" w:hAnsi="Times New Roman"/>
          <w:b w:val="0"/>
          <w:i w:val="0"/>
          <w:sz w:val="24"/>
        </w:rPr>
        <w:t>Os 121 testes unitários foram estruturados seguindo o padrão AAA (Arrange–Act–Assert), com nomenclatura descritiva em português que facilita a compreensão do comportamento esperado de cada função. A suíte cobre três categorias fundamentais de cenários:</w:t>
      </w:r>
    </w:p>
    <w:p>
      <w:pPr>
        <w:pStyle w:val="ListBullet"/>
      </w:pPr>
      <w:r>
        <w:rPr>
          <w:rFonts w:ascii="Times New Roman" w:hAnsi="Times New Roman"/>
          <w:sz w:val="24"/>
        </w:rPr>
        <w:t>Cenários principais (happy path): Validação de e-mails válidos, senhas fortes, números CNJ no formato correto, upload de arquivos PDF/DOC/DOCX dentro do limite, persistência e recuperação de rascunhos e sessões;</w:t>
      </w:r>
    </w:p>
    <w:p>
      <w:pPr>
        <w:pStyle w:val="ListBullet"/>
      </w:pPr>
      <w:r>
        <w:rPr>
          <w:rFonts w:ascii="Times New Roman" w:hAnsi="Times New Roman"/>
          <w:sz w:val="24"/>
        </w:rPr>
        <w:t>Casos de erro: E-mails mal formatados, senhas que não atendem aos requisitos de força, JSON inválido retornado pela API, campos obrigatórios vazios, arquivos com extensão proibida ou MIME type incorreto;</w:t>
      </w:r>
    </w:p>
    <w:p>
      <w:pPr>
        <w:pStyle w:val="ListBullet"/>
      </w:pPr>
      <w:r>
        <w:rPr>
          <w:rFonts w:ascii="Times New Roman" w:hAnsi="Times New Roman"/>
          <w:sz w:val="24"/>
        </w:rPr>
        <w:t>Casos de limite (edge cases): Valores null e undefined em todas as funções, strings contendo apenas espaços, arquivo exatamente no limite de 10MB, senha no limite máximo de 128 caracteres, IDs com formato corrompido (NaN), proteção contra XSS com payloads reais (&lt;script&gt;, onerror).</w:t>
      </w:r>
    </w:p>
    <w:p>
      <w:pPr>
        <w:jc w:val="both"/>
      </w:pPr>
      <w:r>
        <w:rPr>
          <w:rFonts w:ascii="Times New Roman" w:hAnsi="Times New Roman"/>
          <w:b w:val="0"/>
          <w:i w:val="0"/>
          <w:sz w:val="24"/>
        </w:rPr>
        <w:t>Um ponto de destaque é o teste de segurança em persistSession, que verifica que tokens sensíveis não são persistidos no localStorage — um requisito crítico para uma aplicação jurídica que lida com dados de clientes.</w:t>
      </w:r>
    </w:p>
    <w:p>
      <w:pPr>
        <w:pStyle w:val="Heading2"/>
      </w:pPr>
      <w:r>
        <w:rPr>
          <w:color w:val="16213E"/>
        </w:rPr>
        <w:t>3.2 Avaliação da Cobertura Atingida</w:t>
      </w:r>
    </w:p>
    <w:p>
      <w:pPr>
        <w:jc w:val="both"/>
      </w:pPr>
      <w:r>
        <w:rPr>
          <w:rFonts w:ascii="Times New Roman" w:hAnsi="Times New Roman"/>
          <w:b w:val="0"/>
          <w:i w:val="0"/>
          <w:sz w:val="24"/>
        </w:rPr>
        <w:t>A cobertura geral de 94,69% de statements e 100% de functions indica que praticamente toda a lógica de negócio testável foi exercitada. Três dos cinco módulos atingiram 100% em todas as métricas (validators, cases, html), o que demonstra cobertura completa das regras mais críticas do sistema.</w:t>
      </w:r>
    </w:p>
    <w:p>
      <w:pPr>
        <w:jc w:val="both"/>
      </w:pPr>
      <w:r>
        <w:rPr>
          <w:rFonts w:ascii="Times New Roman" w:hAnsi="Times New Roman"/>
          <w:b w:val="0"/>
          <w:i w:val="0"/>
          <w:sz w:val="24"/>
        </w:rPr>
        <w:t>A cobertura de branches em 91,76% reflete a dificuldade técnica de simular certos ambientes no Node.js: a guarda typeof window em storage.js e o fluxo do FileReader em files.js. Essas lacunas são justificáveis e não representam risco real, pois os branches não cobertos são guardas defensivas de ambiente, não lógica de negócio.</w:t>
      </w:r>
    </w:p>
    <w:p>
      <w:pPr>
        <w:pStyle w:val="Heading2"/>
      </w:pPr>
      <w:r>
        <w:rPr>
          <w:color w:val="16213E"/>
        </w:rPr>
        <w:t>3.3 Lacunas Identificadas</w:t>
      </w:r>
    </w:p>
    <w:tbl>
      <w:tblPr>
        <w:tblStyle w:val="TableGrid"/>
        <w:tblW w:type="auto" w:w="0"/>
        <w:jc w:val="center"/>
        <w:tblLook w:firstColumn="1" w:firstRow="1" w:lastColumn="0" w:lastRow="0" w:noHBand="0" w:noVBand="1" w:val="04A0"/>
      </w:tblPr>
      <w:tblGrid>
        <w:gridCol w:w="3041"/>
        <w:gridCol w:w="3041"/>
        <w:gridCol w:w="3041"/>
      </w:tblGrid>
      <w:tr>
        <w:tc>
          <w:tcPr>
            <w:tcW w:type="dxa" w:w="3041"/>
            <w:shd w:fill="16213e" w:val="clear"/>
          </w:tcPr>
          <w:p>
            <w:pPr>
              <w:jc w:val="center"/>
            </w:pPr>
            <w:r>
              <w:rPr>
                <w:rFonts w:ascii="Times New Roman" w:hAnsi="Times New Roman"/>
                <w:b/>
                <w:color w:val="FFFFFF"/>
                <w:sz w:val="20"/>
              </w:rPr>
              <w:t>Lacuna</w:t>
            </w:r>
          </w:p>
        </w:tc>
        <w:tc>
          <w:tcPr>
            <w:tcW w:type="dxa" w:w="3041"/>
            <w:shd w:fill="16213e" w:val="clear"/>
          </w:tcPr>
          <w:p>
            <w:pPr>
              <w:jc w:val="center"/>
            </w:pPr>
            <w:r>
              <w:rPr>
                <w:rFonts w:ascii="Times New Roman" w:hAnsi="Times New Roman"/>
                <w:b/>
                <w:color w:val="FFFFFF"/>
                <w:sz w:val="20"/>
              </w:rPr>
              <w:t>Impacto</w:t>
            </w:r>
          </w:p>
        </w:tc>
        <w:tc>
          <w:tcPr>
            <w:tcW w:type="dxa" w:w="3041"/>
            <w:shd w:fill="16213e" w:val="clear"/>
          </w:tcPr>
          <w:p>
            <w:pPr>
              <w:jc w:val="center"/>
            </w:pPr>
            <w:r>
              <w:rPr>
                <w:rFonts w:ascii="Times New Roman" w:hAnsi="Times New Roman"/>
                <w:b/>
                <w:color w:val="FFFFFF"/>
                <w:sz w:val="20"/>
              </w:rPr>
              <w:t>Justificativa</w:t>
            </w:r>
          </w:p>
        </w:tc>
      </w:tr>
      <w:tr>
        <w:tc>
          <w:tcPr>
            <w:tcW w:type="dxa" w:w="3041"/>
          </w:tcPr>
          <w:p>
            <w:pPr>
              <w:jc w:val="center"/>
            </w:pPr>
            <w:r>
              <w:rPr>
                <w:rFonts w:ascii="Times New Roman" w:hAnsi="Times New Roman"/>
                <w:sz w:val="20"/>
              </w:rPr>
              <w:t>readFileAsBase64 — fluxo principal não coberto</w:t>
            </w:r>
          </w:p>
        </w:tc>
        <w:tc>
          <w:tcPr>
            <w:tcW w:type="dxa" w:w="3041"/>
          </w:tcPr>
          <w:p>
            <w:pPr>
              <w:jc w:val="center"/>
            </w:pPr>
            <w:r>
              <w:rPr>
                <w:rFonts w:ascii="Times New Roman" w:hAnsi="Times New Roman"/>
                <w:sz w:val="20"/>
              </w:rPr>
              <w:t>Médio</w:t>
            </w:r>
          </w:p>
        </w:tc>
        <w:tc>
          <w:tcPr>
            <w:tcW w:type="dxa" w:w="3041"/>
          </w:tcPr>
          <w:p>
            <w:pPr>
              <w:jc w:val="center"/>
            </w:pPr>
            <w:r>
              <w:rPr>
                <w:rFonts w:ascii="Times New Roman" w:hAnsi="Times New Roman"/>
                <w:sz w:val="20"/>
              </w:rPr>
              <w:t>Depende de FileReader (API de browser). Exigiria ambiente jsdom com mock, ou testes E2E.</w:t>
            </w:r>
          </w:p>
        </w:tc>
      </w:tr>
      <w:tr>
        <w:tc>
          <w:tcPr>
            <w:tcW w:type="dxa" w:w="3041"/>
          </w:tcPr>
          <w:p>
            <w:pPr>
              <w:jc w:val="center"/>
            </w:pPr>
            <w:r>
              <w:rPr>
                <w:rFonts w:ascii="Times New Roman" w:hAnsi="Times New Roman"/>
                <w:sz w:val="20"/>
              </w:rPr>
              <w:t>Guarda SSR (typeof window) não exercitada</w:t>
            </w:r>
          </w:p>
        </w:tc>
        <w:tc>
          <w:tcPr>
            <w:tcW w:type="dxa" w:w="3041"/>
          </w:tcPr>
          <w:p>
            <w:pPr>
              <w:jc w:val="center"/>
            </w:pPr>
            <w:r>
              <w:rPr>
                <w:rFonts w:ascii="Times New Roman" w:hAnsi="Times New Roman"/>
                <w:sz w:val="20"/>
              </w:rPr>
              <w:t>Baixo</w:t>
            </w:r>
          </w:p>
        </w:tc>
        <w:tc>
          <w:tcPr>
            <w:tcW w:type="dxa" w:w="3041"/>
          </w:tcPr>
          <w:p>
            <w:pPr>
              <w:jc w:val="center"/>
            </w:pPr>
            <w:r>
              <w:rPr>
                <w:rFonts w:ascii="Times New Roman" w:hAnsi="Times New Roman"/>
                <w:sz w:val="20"/>
              </w:rPr>
              <w:t>Código defensivo para SSR. A aplicação é SPA e não usa renderização server-side.</w:t>
            </w:r>
          </w:p>
        </w:tc>
      </w:tr>
      <w:tr>
        <w:tc>
          <w:tcPr>
            <w:tcW w:type="dxa" w:w="3041"/>
          </w:tcPr>
          <w:p>
            <w:pPr>
              <w:jc w:val="center"/>
            </w:pPr>
            <w:r>
              <w:rPr>
                <w:rFonts w:ascii="Times New Roman" w:hAnsi="Times New Roman"/>
                <w:sz w:val="20"/>
              </w:rPr>
              <w:t>Componentes React não testados</w:t>
            </w:r>
          </w:p>
        </w:tc>
        <w:tc>
          <w:tcPr>
            <w:tcW w:type="dxa" w:w="3041"/>
          </w:tcPr>
          <w:p>
            <w:pPr>
              <w:jc w:val="center"/>
            </w:pPr>
            <w:r>
              <w:rPr>
                <w:rFonts w:ascii="Times New Roman" w:hAnsi="Times New Roman"/>
                <w:sz w:val="20"/>
              </w:rPr>
              <w:t>Médio</w:t>
            </w:r>
          </w:p>
        </w:tc>
        <w:tc>
          <w:tcPr>
            <w:tcW w:type="dxa" w:w="3041"/>
          </w:tcPr>
          <w:p>
            <w:pPr>
              <w:jc w:val="center"/>
            </w:pPr>
            <w:r>
              <w:rPr>
                <w:rFonts w:ascii="Times New Roman" w:hAnsi="Times New Roman"/>
                <w:sz w:val="20"/>
              </w:rPr>
              <w:t>Fora do escopo (lógica de apresentação). Recomendado para fase futura com React Testing Library.</w:t>
            </w:r>
          </w:p>
        </w:tc>
      </w:tr>
      <w:tr>
        <w:tc>
          <w:tcPr>
            <w:tcW w:type="dxa" w:w="3041"/>
          </w:tcPr>
          <w:p>
            <w:pPr>
              <w:jc w:val="center"/>
            </w:pPr>
            <w:r>
              <w:rPr>
                <w:rFonts w:ascii="Times New Roman" w:hAnsi="Times New Roman"/>
                <w:sz w:val="20"/>
              </w:rPr>
              <w:t>Integração com Supabase não testada</w:t>
            </w:r>
          </w:p>
        </w:tc>
        <w:tc>
          <w:tcPr>
            <w:tcW w:type="dxa" w:w="3041"/>
          </w:tcPr>
          <w:p>
            <w:pPr>
              <w:jc w:val="center"/>
            </w:pPr>
            <w:r>
              <w:rPr>
                <w:rFonts w:ascii="Times New Roman" w:hAnsi="Times New Roman"/>
                <w:sz w:val="20"/>
              </w:rPr>
              <w:t>Alto</w:t>
            </w:r>
          </w:p>
        </w:tc>
        <w:tc>
          <w:tcPr>
            <w:tcW w:type="dxa" w:w="3041"/>
          </w:tcPr>
          <w:p>
            <w:pPr>
              <w:jc w:val="center"/>
            </w:pPr>
            <w:r>
              <w:rPr>
                <w:rFonts w:ascii="Times New Roman" w:hAnsi="Times New Roman"/>
                <w:sz w:val="20"/>
              </w:rPr>
              <w:t>Comunicação com backend sem testes. Requer mocks ou ambiente de staging.</w:t>
            </w:r>
          </w:p>
        </w:tc>
      </w:tr>
    </w:tbl>
    <w:p>
      <w:pPr>
        <w:pStyle w:val="Heading2"/>
      </w:pPr>
      <w:r>
        <w:rPr>
          <w:color w:val="16213E"/>
        </w:rPr>
        <w:t>3.4 Riscos Identificados</w:t>
      </w:r>
    </w:p>
    <w:p>
      <w:pPr>
        <w:pStyle w:val="ListBullet"/>
      </w:pPr>
      <w:r>
        <w:rPr>
          <w:rFonts w:ascii="Times New Roman" w:hAnsi="Times New Roman"/>
          <w:sz w:val="24"/>
        </w:rPr>
        <w:t>Validação apenas no frontend: As validações de e-mail, senha e número CNJ existem no cliente, mas um atacante pode enviá-las diretamente para a API. Os testes confirmam que as regras do frontend estão corretas, mas a segurança real depende de validação duplicada no backend;</w:t>
      </w:r>
    </w:p>
    <w:p>
      <w:pPr>
        <w:pStyle w:val="ListBullet"/>
      </w:pPr>
      <w:r>
        <w:rPr>
          <w:rFonts w:ascii="Times New Roman" w:hAnsi="Times New Roman"/>
          <w:sz w:val="24"/>
        </w:rPr>
        <w:t>Arquivo renomeado com MIME vazio: O sistema aceita arquivos com MIME type vazio como fallback para navegadores que não preenchem o Content-Type. Isso é intencional (documentado no código), mas abre uma janela para envio de arquivos maliciosos. O teste documenta esse comportamento deliberado;</w:t>
      </w:r>
    </w:p>
    <w:p>
      <w:pPr>
        <w:pStyle w:val="ListBullet"/>
      </w:pPr>
      <w:r>
        <w:rPr>
          <w:rFonts w:ascii="Times New Roman" w:hAnsi="Times New Roman"/>
          <w:sz w:val="24"/>
        </w:rPr>
        <w:t>localStorage não criptografado: Rascunhos de contestações jurídicas são salvos em texto plano no localStorage. Embora a persistSession filtre tokens, o conteúdo do rascunho pode conter dados sigilosos do cliente.</w:t>
      </w:r>
    </w:p>
    <w:p>
      <w:pPr>
        <w:pStyle w:val="Heading2"/>
      </w:pPr>
      <w:r>
        <w:rPr>
          <w:color w:val="16213E"/>
        </w:rPr>
        <w:t>3.5 Possíveis Melhorias</w:t>
      </w:r>
    </w:p>
    <w:p>
      <w:r>
        <w:rPr>
          <w:rFonts w:ascii="Times New Roman" w:hAnsi="Times New Roman"/>
          <w:sz w:val="24"/>
        </w:rPr>
        <w:t>1. Adicionar ambiente jsdom/happy-dom ao Vitest para cobrir readFileAsBase64 e simular interações com DOM, atingindo cobertura próxima de 100%;</w:t>
      </w:r>
    </w:p>
    <w:p>
      <w:r>
        <w:rPr>
          <w:rFonts w:ascii="Times New Roman" w:hAnsi="Times New Roman"/>
          <w:sz w:val="24"/>
        </w:rPr>
        <w:t>2. Implementar testes de componentes React com @testing-library/react para cobrir os formulários de AuthModal e MainPanelSection, que consomem diretamente as funções validadoras;</w:t>
      </w:r>
    </w:p>
    <w:p>
      <w:r>
        <w:rPr>
          <w:rFonts w:ascii="Times New Roman" w:hAnsi="Times New Roman"/>
          <w:sz w:val="24"/>
        </w:rPr>
        <w:t>3. Adicionar testes de integração com mock do Supabase para validar o fluxo completo de autenticação e envio de contestações;</w:t>
      </w:r>
    </w:p>
    <w:p>
      <w:r>
        <w:rPr>
          <w:rFonts w:ascii="Times New Roman" w:hAnsi="Times New Roman"/>
          <w:sz w:val="24"/>
        </w:rPr>
        <w:t>4. Configurar threshold de cobertura no Vitest (ex: branches: 90) para impedir que futuras alterações reduzam a cobertura abaixo do mínimo aceitável;</w:t>
      </w:r>
    </w:p>
    <w:p>
      <w:r>
        <w:rPr>
          <w:rFonts w:ascii="Times New Roman" w:hAnsi="Times New Roman"/>
          <w:sz w:val="24"/>
        </w:rPr>
        <w:t>5. Incluir testes de mutação (ex: Stryker) para verificar se os testes realmente detectam bugs introduzidos artificialmente, além de simplesmente exercitar as linhas.</w:t>
      </w:r>
    </w:p>
    <w:p>
      <w:pPr>
        <w:pStyle w:val="Heading2"/>
      </w:pPr>
      <w:r>
        <w:rPr>
          <w:color w:val="16213E"/>
        </w:rPr>
        <w:t>3.6 Conclusão</w:t>
      </w:r>
    </w:p>
    <w:p>
      <w:pPr>
        <w:jc w:val="both"/>
      </w:pPr>
      <w:r>
        <w:rPr>
          <w:rFonts w:ascii="Times New Roman" w:hAnsi="Times New Roman"/>
          <w:b w:val="0"/>
          <w:i w:val="0"/>
          <w:sz w:val="24"/>
        </w:rPr>
        <w:t>A implementação de 121 testes unitários atingiu uma cobertura de 94,69% nos módulos de lógica de negócio, com 100% de cobertura de funções e cobertura completa nos três módulos mais críticos (validators, cases, html). Os testes cobrem cenários principais, casos de erro e edge cases relevantes, incluindo proteção contra XSS e validação de segurança na persistência de sessão.</w:t>
      </w:r>
    </w:p>
    <w:p>
      <w:pPr>
        <w:jc w:val="both"/>
      </w:pPr>
      <w:r>
        <w:rPr>
          <w:rFonts w:ascii="Times New Roman" w:hAnsi="Times New Roman"/>
          <w:b w:val="0"/>
          <w:i w:val="0"/>
          <w:sz w:val="24"/>
        </w:rPr>
        <w:t>As lacunas identificadas são justificáveis por limitações do ambiente de teste (ausência de DOM real) e não comprometem a confiabilidade da suíte. O projeto está em uma base sólida para evoluir com testes de componente e integração nas próximas iterações.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