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2"/>
          <w:szCs w:val="32"/>
        </w:rPr>
        <w:t xml:space="preserve">A5  Verificação de normalização</w:t>
      </w:r>
    </w:p>
    <w:p>
      <w:pPr>
        <w:spacing w:after="120"/>
      </w:pPr>
      <w:r>
        <w:t xml:space="preserve">Demonstração de que o esquema lógico está pelo menos na Terceira Forma Normal, com a análise escrita — não basta afirmar.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Metodologia</w:t>
      </w:r>
    </w:p>
    <w:p>
      <w:pPr>
        <w:spacing w:after="120"/>
      </w:pPr>
      <w:r>
        <w:t xml:space="preserve">Para cada relação do esquema lógico (A4), identifico as dependências funcionais (DFs) relevantes a partir das regras de negócio e do dicionário de dados (A3), e verifico: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1FN: todos os atributos são atômicos e não há grupos repetitivos — válido para as 12 relações (nenhum atributo multivalorado foi armazenado em coluna única; todo N:N foi resolvido em tabela associativa).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2FN: aplicável apenas às relações com chave primária composta; verifico se algum atributo não-chave depende de parte da chave, e não da chave inteira.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3FN: verifico se algum atributo não-chave depende transitivamente de outro atributo não-chave (em vez de depender diretamente da chave).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FNBC: verifico se todo determinante de uma DF não-trivial é uma superchave.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Relação por relação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tb_user(id_user, user, password, email)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id_user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id_user → user, password, email. Como user é único (login), também user → id_user, password, email — os dois determinantes são candidatos a chave.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 (todo determinante é superchave).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tb_seller(id_seller, CNPJ)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id_seller (FK para tb_user)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id_seller → CNPJ; e como CNPJ é único (RN03), CNPJ → id_seller.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tb_client(id_client, phone)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id_client (FK para tb_user)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id_client → phone. Único atributo não-chave, único determinante possível.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tb_category(id_category, category, description, id_category_parent)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id_category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id_category → category, description, id_category_parent. category não é único (pode repetir entre subcategorias distintas), logo não é determinante alternativo; nenhum atributo não-chave determina outro.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tb_product(id_product, name, value, quantity, id_seller, id_category)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id_product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id_product → name, value, quantity, id_seller, id_category. name não é único entre vendedores, então não há determinante alternativo nem dependência transitiva (value/quantity não dependem de id_seller ou id_category, variam produto a produto).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tb_supplier(id_supplier, name, CNPJ, phone)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id_supplier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id_supplier → name, CNPJ, phone.</w:t>
      </w:r>
    </w:p>
    <w:p>
      <w:pPr>
        <w:spacing w:after="120"/>
      </w:pPr>
      <w:r>
        <w:rPr>
          <w:sz w:val="21"/>
          <w:szCs w:val="21"/>
        </w:rPr>
        <w:t xml:space="preserve">Diferente do vendedor, o dicionário de dados não registra uma regra de unicidade para o CNPJ do fornecedor (não há RN equivalente à RN03), então, dentro do que está documentado, id_supplier é o único determinante.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 (com a ressalva de que, se a unicidade do CNPJ do fornecedor for de fato uma regra de negócio implícita, valeria a pena formalizá-la como constraint UNIQUE — isso não afeta a forma normal, só a robustez do modelo).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tb_cart(id_cart, totalvalue, itemquantity, id_client) — ver nota de desnormalização adiante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id_cart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id_cart → totalvalue, itemquantity, id_client.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 do ponto de vista estritamente intra-relacional.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tb_order(id_order, date_order, totalvalue, id_client) — ver nota de desnormalização adiante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primária: id_order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id_order → date_order, totalvalue, id_client.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 do ponto de vista estritamente intra-relacional.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tb_buyItem(id_product, id_cart, quantity, unit_value)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 composta: (id_product, id_cart)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{id_product, id_cart} → quantity, unit_value. Nem quantity nem unit_value dependem de apenas uma das duas colunas da chave (o mesmo produto tem unit_value diferente em carrinhos diferentes) — não há dependência parcial.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2FN ok, 3FN ok (nenhum atributo não-chave determina outro), FNBC (único determinante é a própria chave composta).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tb_orderItem(id_order, id_product, quantity, unit_value)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 composta: (id_order, id_product)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Mesmo raciocínio de tb_buyItem: {id_order, id_product} → quantity, unit_value, sem dependência parcial.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tb_order_status(id_order, date_status, status) — entidade fraca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 composta: (id_order, date_status)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{id_order, date_status} → status. status não determina date_status (o mesmo status pode se repetir em pedidos diferentes ou até, tecnicamente, existirem transições que retornam ao mesmo status).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2FN ok (status depende da combinação inteira, não faria sentido depender só de id_order — o pedido tem vários status ao longo do tempo — nem só de date_status), 3FN/FNBC ok.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tb_product_supplier(id_product, id_supplier, delivery_time)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Chave primária composta: (id_product, id_supplier)</w:t>
      </w:r>
    </w:p>
    <w:p>
      <w:pPr>
        <w:spacing w:after="80"/>
        <w:ind w:left="200"/>
      </w:pPr>
      <w:r>
        <w:rPr>
          <w:i/>
          <w:iCs/>
          <w:sz w:val="21"/>
          <w:szCs w:val="21"/>
        </w:rPr>
        <w:t xml:space="preserve">DF: {id_product, id_supplier} → delivery_time (o prazo é específico do par, RN18/RN19).</w:t>
      </w:r>
    </w:p>
    <w:p>
      <w:pPr>
        <w:spacing w:after="60"/>
        <w:ind w:left="200"/>
      </w:pPr>
      <w:r>
        <w:rPr>
          <w:b/>
          <w:bCs/>
          <w:color w:val="375623"/>
        </w:rPr>
        <w:t xml:space="preserve">→ </w:t>
      </w:r>
      <w:r>
        <w:rPr>
          <w:b/>
          <w:bCs/>
          <w:color w:val="375623"/>
        </w:rPr>
        <w:t xml:space="preserve">FNBC.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Relações deliberadamente desnormalizadas</w:t>
      </w:r>
    </w:p>
    <w:p>
      <w:pPr>
        <w:spacing w:after="120"/>
      </w:pPr>
      <w:r>
        <w:t xml:space="preserve">Duas colunas quebram a normalização "pura" no sentido amplo, mesmo satisfazendo a FNBC formalmente dentro da própria tabela: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3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Redundante em relação a</w:t>
            </w:r>
          </w:p>
        </w:tc>
        <w:tc>
          <w:tcPr>
            <w:tcW w:type="dxa" w:w="42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Justificativa de desempenho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tb_cart.totalvalue, tb_cart.itemquantity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SUM(quantity*unit_value) e SUM(quantity) de tb_buyItem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Evita recalcular a soma a cada exibição do carrinho (tela consultada com alta frequência durante a navegação de compra); troca uma agregação repetida por uma leitura direta de coluna.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tb_order.totalvalue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SUM(quantity*unit_value) de tb_orderItem (RN13)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Evita recalcular o total em toda listagem/relatório de pedidos; além disso, congela o valor histórico do pedido, que deve permanecer estável mesmo que os itens fossem (hipoteticamente) reconsultados.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spacing w:after="120"/>
      </w:pPr>
      <w:r>
        <w:t xml:space="preserve">Essa redundância é controlada, não acidental: o próprio A4 já previa a consulta de verificação (SUM() comparado a totalvalue armazenado, RN13) e a atualização exclusivamente por aplicação — ou seja, a integridade entre o valor armazenado e o valor derivado é responsabilidade da camada de aplicação, não do SGBD. Formalmente isso não fere 1FN/2FN/3FN/FNBC (o atributo depende funcionalmente só da chave primária da própria tabela), mas é uma redundância inter-tabelas que, num modelo estritamente normalizado, não existiria — as duas colunas seriam sempre calculadas em tempo de consulta.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Conclusão</w:t>
      </w:r>
    </w:p>
    <w:p>
      <w:pPr>
        <w:spacing w:after="120"/>
      </w:pPr>
      <w:r>
        <w:t xml:space="preserve">Todas as 12 relações do esquema lógico estão, no mínimo, na 3ª Forma Normal. Na prática, todas alcançam a Forma Normal de Boyce-Codd (FNBC), porque em cada relação o único determinante não-trivial é a própria chave (simples ou composta) — não há nenhuma dependência funcional cujo determinante seja um atributo não-chave. As únicas exceções à normalização "estrita" (no sentido de ausência total de dados derivados) são as colunas totalvalue/itemquantity de tb_cart e totalvalue de tb_order, mantidas de forma deliberada por motivo de desempenho, conforme detalhado acima.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2026-09-19T18:36:35.353Z</dcterms:created>
  <dcterms:modified xsi:type="dcterms:W3CDTF">2026-09-19T18:36:35.363Z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