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3: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Facilidade na manutenção dos códigos.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Legibilidade;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Facilita a leitura posterior do código.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Reusabilidade.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Cria-se a possibilidade de reuso dos códigos.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