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questão 3: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Manutenção;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Facilidade na manutenção dos códigos.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Legibilidade;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Facilita a leitura posterior do código.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Reusabilidade.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Cria-se a possibilidade de reuso dos códigos.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