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AC587" w14:textId="77777777" w:rsidR="00FA5647" w:rsidRPr="00B04661" w:rsidRDefault="00FA5647" w:rsidP="00B04661"/>
    <w:p w14:paraId="43886FDC" w14:textId="77777777" w:rsidR="00EB1060" w:rsidRDefault="00000000">
      <w:pPr>
        <w:spacing w:after="240" w:line="276" w:lineRule="auto"/>
        <w:jc w:val="both"/>
      </w:pPr>
      <w:r>
        <w:rPr>
          <w:b/>
        </w:rPr>
        <w:t>EXCELENTÍSSIMO SENHOR DOUTOR JUIZ DE DIREITO DA 6ª UPJ DAS VARAS CÍVEIS DA COMARCA DE GOIÂNIA – ESTADO DE GOIÁS.</w:t>
      </w:r>
    </w:p>
    <w:p w14:paraId="64381E04" w14:textId="77777777" w:rsidR="00EB1060" w:rsidRDefault="00EB1060">
      <w:pPr>
        <w:spacing w:line="276" w:lineRule="auto"/>
        <w:jc w:val="both"/>
      </w:pPr>
    </w:p>
    <w:p w14:paraId="57E46A26" w14:textId="74FA1C6E" w:rsidR="00EB1060" w:rsidRDefault="001A0733" w:rsidP="00FA30A1">
      <w:pPr>
        <w:spacing w:after="240" w:line="276" w:lineRule="auto"/>
      </w:pPr>
      <w:r>
        <w:rPr>
          <w:b/>
        </w:rPr>
        <w:t>PROCESSO Nº 6056664-27.2024.8.09.0051</w:t>
      </w:r>
    </w:p>
    <w:p w14:paraId="70C926D1" w14:textId="77777777" w:rsidR="00EB1060" w:rsidRDefault="00EB1060">
      <w:pPr>
        <w:spacing w:line="276" w:lineRule="auto"/>
        <w:jc w:val="both"/>
      </w:pPr>
    </w:p>
    <w:p w14:paraId="6FE31928" w14:textId="7B76A2B2" w:rsidR="00EB1060" w:rsidRDefault="00000000">
      <w:pPr>
        <w:spacing w:after="240" w:line="276" w:lineRule="auto"/>
        <w:ind w:firstLine="2835"/>
        <w:jc w:val="both"/>
      </w:pPr>
      <w:r>
        <w:rPr>
          <w:b/>
        </w:rPr>
        <w:t>MUNDO FUNDO DE INVESTIMENTO EM DIREITOS CREDITÓRIOS NÃO PADRONIZADOS</w:t>
      </w:r>
      <w:r>
        <w:t xml:space="preserve">, já devidamente qualificado nos autos de </w:t>
      </w:r>
      <w:r w:rsidRPr="001A0733">
        <w:rPr>
          <w:b/>
          <w:bCs/>
        </w:rPr>
        <w:t>EXECUÇÃO DE TÍTULO EXTRAJUDICIAL</w:t>
      </w:r>
      <w:r>
        <w:t xml:space="preserve"> em epígrafe, que move em face de </w:t>
      </w:r>
      <w:r>
        <w:rPr>
          <w:b/>
        </w:rPr>
        <w:t>KEILA CLEMENTINO DO NASCIMENTO</w:t>
      </w:r>
      <w:r>
        <w:t xml:space="preserve"> e </w:t>
      </w:r>
      <w:r>
        <w:rPr>
          <w:b/>
        </w:rPr>
        <w:t>JOSCELEY RIBEIRO DO NASCIMENTO</w:t>
      </w:r>
      <w:r>
        <w:t xml:space="preserve">, vem respeitosamente perante Vossa Excelência, por meio de seu advogado que a esta subscreve, em atenção ao despacho de mov. 119, apresentar </w:t>
      </w:r>
      <w:r>
        <w:rPr>
          <w:b/>
          <w:u w:val="single"/>
        </w:rPr>
        <w:t>MANIFESTAÇÃO</w:t>
      </w:r>
      <w:r>
        <w:t xml:space="preserve"> quanto à regularização do polo passivo e à sucessão processual da executada falecida, pelas razões de fato e de direito a seguir expostas.</w:t>
      </w:r>
    </w:p>
    <w:p>
      <w:pPr>
        <w:spacing w:before="240" w:after="240" w:lineRule="auto" w:line="276"/>
        <w:ind w:firstLine="0" w:left="2835" w:right="0"/>
        <w:jc w:val="both"/>
      </w:pPr>
      <w:r/>
      <w:r>
        <w:rPr>
          <w:rFonts w:ascii="Arial Narrow" w:hAnsi="Arial Narrow" w:eastAsia="Arial Narrow"/>
          <w:b/>
          <w:i w:val="0"/>
        </w:rPr>
        <w:t>DA SUCESSÃO PROCESSUAL E DA MANUTENÇÃO DO ESPÓLIO NO POLO PASSIVO</w:t>
      </w:r>
    </w:p>
    <w:p>
      <w:pPr>
        <w:spacing w:before="0" w:after="240" w:lineRule="auto" w:line="276"/>
        <w:ind w:firstLine="2835" w:left="0" w:right="0"/>
        <w:jc w:val="both"/>
      </w:pPr>
      <w:r/>
      <w:r>
        <w:rPr>
          <w:rFonts w:ascii="Arial Narrow" w:hAnsi="Arial Narrow" w:eastAsia="Arial Narrow"/>
          <w:b w:val="0"/>
          <w:i w:val="0"/>
        </w:rPr>
        <w:t>Noticiado o óbito da executada KEILA CLEMENTINO DO NASCIMENTO (mov. 114), este d. Juízo, por meio do despacho de mov. 119, determinou a regularização do polo passivo da demanda, nos seguintes termos:</w:t>
      </w:r>
    </w:p>
    <w:p>
      <w:pPr>
        <w:spacing w:before="0" w:after="240" w:lineRule="auto" w:line="276"/>
        <w:ind w:firstLine="0" w:left="2835" w:right="0"/>
        <w:jc w:val="both"/>
      </w:pPr>
      <w:r/>
      <w:r>
        <w:rPr>
          <w:rFonts w:ascii="Arial Narrow" w:hAnsi="Arial Narrow" w:eastAsia="Arial Narrow"/>
          <w:b w:val="0"/>
          <w:i/>
          <w:sz w:val="20"/>
        </w:rPr>
        <w:t>Com isso em vista, intime-se a parte exequente para regularizar corretamente o polo passivo da demanda, devendo:</w:t>
      </w:r>
    </w:p>
    <w:p>
      <w:pPr>
        <w:spacing w:before="0" w:after="240" w:lineRule="auto" w:line="276"/>
        <w:ind w:firstLine="0" w:left="2835" w:right="0"/>
        <w:jc w:val="both"/>
      </w:pPr>
      <w:r/>
      <w:r>
        <w:rPr>
          <w:rFonts w:ascii="Arial Narrow" w:hAnsi="Arial Narrow" w:eastAsia="Arial Narrow"/>
          <w:b w:val="0"/>
          <w:i/>
          <w:sz w:val="20"/>
        </w:rPr>
        <w:t>a) manter o espólio de KEILA CLEMENTINO DO NASCIMENTO no polo passivo, caso existam processos referentes aos inventários de eventuais bens por ela deixados em tramitação, com a apresentação de cópia do termo de inventariante;</w:t>
      </w:r>
    </w:p>
    <w:p>
      <w:pPr>
        <w:spacing w:before="0" w:after="240" w:lineRule="auto" w:line="276"/>
        <w:ind w:firstLine="0" w:left="2835" w:right="0"/>
        <w:jc w:val="both"/>
      </w:pPr>
      <w:r/>
      <w:r>
        <w:rPr>
          <w:rFonts w:ascii="Arial Narrow" w:hAnsi="Arial Narrow" w:eastAsia="Arial Narrow"/>
          <w:b w:val="0"/>
          <w:i/>
          <w:sz w:val="20"/>
        </w:rPr>
        <w:t>b) ou incluir todos os herdeiros do de cujus, qualificando-os, caso não exista processo de inventário (ou este já tenha finalizado).</w:t>
      </w:r>
    </w:p>
    <w:p>
      <w:pPr>
        <w:spacing w:before="0" w:after="240" w:lineRule="auto" w:line="276"/>
        <w:ind w:firstLine="2835" w:left="0" w:right="0"/>
        <w:jc w:val="both"/>
      </w:pPr>
      <w:r/>
      <w:r>
        <w:rPr>
          <w:rFonts w:ascii="Arial Narrow" w:hAnsi="Arial Narrow" w:eastAsia="Arial Narrow"/>
          <w:b w:val="0"/>
          <w:i w:val="0"/>
        </w:rPr>
        <w:t>Em atenção ao despacho, e conforme informado no mov. 122, a exequente diligenciou a busca por inventário em nome da falecida, tendo obtido a certidão de inventário judicial que segue anexa, emitida em 24 de agosto de 2026 pelo Distribuidor da Comarca de Aparecida de Goiânia, a qual abrange as ações de inventário judicial e arrolamento de bens, em andamento e arquivadas, nos sistemas de primeiro grau do Poder Judiciário do Estado de Goiás, e certifica que NADA CONSTA em nome do ESPÓLIO DE KEILA CLEMENTINO DO NASCIMENTO.</w:t>
      </w:r>
    </w:p>
    <w:p>
      <w:pPr>
        <w:spacing w:before="0" w:after="240" w:lineRule="auto" w:line="276"/>
        <w:ind w:firstLine="2835" w:left="0" w:right="0"/>
        <w:jc w:val="both"/>
      </w:pPr>
      <w:r/>
      <w:r>
        <w:rPr>
          <w:rFonts w:ascii="Arial Narrow" w:hAnsi="Arial Narrow" w:eastAsia="Arial Narrow"/>
          <w:b w:val="0"/>
          <w:i w:val="0"/>
        </w:rPr>
        <w:t>Não há, portanto, inventário aberto, e por isso inexistem inventariante e termo de compromisso a apresentar. Respeitosamente, essa circunstância não afasta a possibilidade de o espólio permanecer no polo passivo, pois a própria lei processual prevê a sucessão da parte falecida pelo seu espólio. Nesse sentido, o art. 110 do Código de Processo Civil dispõe que, ocorrendo a morte de qualquer das partes, dar-se-á a sucessão pelo seu espólio ou pelos seus sucessores, e o art. 313, § 2º, inciso I, do mesmo diploma, ao tratar do falecimento do réu, estabelece o seguinte:</w:t>
      </w:r>
    </w:p>
    <w:p>
      <w:pPr>
        <w:spacing w:before="0" w:after="240" w:lineRule="auto" w:line="276"/>
        <w:ind w:firstLine="0" w:left="2835" w:right="0"/>
        <w:jc w:val="both"/>
      </w:pPr>
      <w:r/>
      <w:r>
        <w:rPr>
          <w:rFonts w:ascii="Arial Narrow" w:hAnsi="Arial Narrow" w:eastAsia="Arial Narrow"/>
          <w:b w:val="0"/>
          <w:i/>
          <w:sz w:val="20"/>
        </w:rPr>
        <w:t>I - falecido o réu, ordenará a intimação do autor para que promova a citação do respectivo espólio, de quem for o sucessor ou, se for o caso, dos herdeiros, no prazo que designar, de no mínimo 2 (dois) e no máximo 6 (seis) meses;</w:t>
      </w:r>
    </w:p>
    <w:p>
      <w:pPr>
        <w:spacing w:before="0" w:after="240" w:lineRule="auto" w:line="276"/>
        <w:ind w:firstLine="2835" w:left="0" w:right="0"/>
        <w:jc w:val="both"/>
      </w:pPr>
      <w:r/>
      <w:r>
        <w:rPr>
          <w:rFonts w:ascii="Arial Narrow" w:hAnsi="Arial Narrow" w:eastAsia="Arial Narrow"/>
          <w:b w:val="0"/>
          <w:i w:val="0"/>
        </w:rPr>
        <w:t>Observa-se que o dispositivo indica em primeiro lugar o espólio, e não condiciona, de forma expressa, a sua permanência no processo à prévia abertura de inventário. A razão é que a herança se defere como um todo unitário, ainda que vários sejam os herdeiros, e, até a partilha, o direito dos coerdeiros quanto à propriedade e posse da herança é indivisível, nos termos do art. 1.791 e seu parágrafo único do Código Civil. Enquanto não há partilha, portanto, não se individualizam os quinhões, e a herança continua a responder, como universalidade, pelas obrigações do falecido.</w:t>
      </w:r>
    </w:p>
    <w:p>
      <w:pPr>
        <w:spacing w:before="0" w:after="240" w:lineRule="auto" w:line="276"/>
        <w:ind w:firstLine="2835" w:left="0" w:right="0"/>
        <w:jc w:val="both"/>
      </w:pPr>
      <w:r/>
      <w:r>
        <w:rPr>
          <w:rFonts w:ascii="Arial Narrow" w:hAnsi="Arial Narrow" w:eastAsia="Arial Narrow"/>
          <w:b w:val="0"/>
          <w:i w:val="0"/>
        </w:rPr>
        <w:t>Quanto à representação do espólio, a ausência de inventariante é suprida pela figura do administrador provisório. O art. 613 do Código de Processo Civil prevê que, até que o inventariante preste o compromisso, continuará o espólio na posse do administrador provisório, e o art. 614 do mesmo Código dispõe que:</w:t>
      </w:r>
    </w:p>
    <w:p>
      <w:pPr>
        <w:spacing w:before="0" w:after="240" w:lineRule="auto" w:line="276"/>
        <w:ind w:firstLine="0" w:left="2835" w:right="0"/>
        <w:jc w:val="both"/>
      </w:pPr>
      <w:r/>
      <w:r>
        <w:rPr>
          <w:rFonts w:ascii="Arial Narrow" w:hAnsi="Arial Narrow" w:eastAsia="Arial Narrow"/>
          <w:b w:val="0"/>
          <w:i/>
          <w:sz w:val="20"/>
        </w:rPr>
        <w:t>O administrador provisório representa ativa e passivamente o espólio, é obrigado a trazer ao acervo os frutos que desde a abertura da sucessão percebeu, tem direito ao reembolso das despesas necessárias e úteis que fez e responde pelo dano a que, por dolo ou culpa, der causa.</w:t>
      </w:r>
    </w:p>
    <w:p>
      <w:pPr>
        <w:spacing w:before="0" w:after="240" w:lineRule="auto" w:line="276"/>
        <w:ind w:firstLine="2835" w:left="0" w:right="0"/>
        <w:jc w:val="both"/>
      </w:pPr>
      <w:r/>
      <w:r>
        <w:rPr>
          <w:rFonts w:ascii="Arial Narrow" w:hAnsi="Arial Narrow" w:eastAsia="Arial Narrow"/>
          <w:b w:val="0"/>
          <w:i w:val="0"/>
        </w:rPr>
        <w:t>A regra do art. 75, inciso VII, do Código de Processo Civil, segundo a qual o espólio é representado pelo inventariante, é assim complementada pelos arts. 613 e 614, que asseguram a representação do espólio, ativa e passivamente, no período anterior ao compromisso do inventariante. A ordem de quem exerce a administração provisória da herança está disciplinada no art. 1.797 do Código Civil, já transcrito na manifestação de mov. 117.</w:t>
      </w:r>
    </w:p>
    <w:p>
      <w:pPr>
        <w:spacing w:before="0" w:after="240" w:lineRule="auto" w:line="276"/>
        <w:ind w:firstLine="2835" w:left="0" w:right="0"/>
        <w:jc w:val="both"/>
      </w:pPr>
      <w:r/>
      <w:r>
        <w:rPr>
          <w:rFonts w:ascii="Arial Narrow" w:hAnsi="Arial Narrow" w:eastAsia="Arial Narrow"/>
          <w:b w:val="0"/>
          <w:i w:val="0"/>
        </w:rPr>
        <w:t>No caso dos autos, o executado JOSCELEY RIBEIRO DO NASCIMENTO figura no polo passivo desde a petição inicial e já foi citado, conforme consignado no despacho de mov. 119. A matrícula do imóvel, juntada com a inicial, registra que o bem foi adquirido em conjunto por KEILA CLEMENTINO DO NASCIMENTO e por JOSCELEY RIBEIRO DO NASCIMENTO, que constam como casados entre si pelo regime da comunhão parcial de bens à época da aquisição (mov. 1, registro R-3). Trata-se, portanto, de coproprietário do imóvel que originou o débito, já integrado à relação processual, em condições de representar o espólio perante este Juízo na condição de administrador provisório.</w:t>
      </w:r>
    </w:p>
    <w:p>
      <w:pPr>
        <w:spacing w:before="0" w:after="240" w:lineRule="auto" w:line="276"/>
        <w:ind w:firstLine="2835" w:left="0" w:right="0"/>
        <w:jc w:val="both"/>
      </w:pPr>
      <w:r/>
      <w:r>
        <w:rPr>
          <w:rFonts w:ascii="Arial Narrow" w:hAnsi="Arial Narrow" w:eastAsia="Arial Narrow"/>
          <w:b w:val="0"/>
          <w:i w:val="0"/>
        </w:rPr>
        <w:t>Registre-se, ainda, que o herdeiro HENRIQUE FERREIRA NASCIMENTO, que se manifestou no mov. 114 na condição de filho da falecida, teve sua advogada habilitada para fins de intimação (mov. 119), de modo que poderá acompanhar o feito e exercer os seus direitos, sem prejuízo da permanência do espólio no polo passivo.</w:t>
      </w:r>
    </w:p>
    <w:p>
      <w:pPr>
        <w:spacing w:before="0" w:after="240" w:lineRule="auto" w:line="276"/>
        <w:ind w:firstLine="2835" w:left="0" w:right="0"/>
        <w:jc w:val="both"/>
      </w:pPr>
      <w:r/>
      <w:r>
        <w:rPr>
          <w:rFonts w:ascii="Arial Narrow" w:hAnsi="Arial Narrow" w:eastAsia="Arial Narrow"/>
          <w:b w:val="0"/>
          <w:i w:val="0"/>
        </w:rPr>
        <w:t>Ante o exposto, diante da inexistência de inventário e da expressa previsão legal de sucessão da parte falecida pelo seu espólio, representado por administrador provisório até o compromisso do inventariante, requer-se a manutenção do ESPÓLIO DE KEILA CLEMENTINO DO NASCIMENTO no polo passivo da execução, de modo que o feito prossiga regularmente.</w:t>
      </w:r>
    </w:p>
    <w:p>
      <w:pPr>
        <w:spacing w:before="240" w:after="240" w:lineRule="auto" w:line="276"/>
        <w:ind w:firstLine="0" w:left="2835" w:right="0"/>
        <w:jc w:val="both"/>
      </w:pPr>
      <w:r/>
      <w:r>
        <w:rPr>
          <w:rFonts w:ascii="Arial Narrow" w:hAnsi="Arial Narrow" w:eastAsia="Arial Narrow"/>
          <w:b/>
          <w:i w:val="0"/>
        </w:rPr>
        <w:t>DOS PEDIDOS</w:t>
      </w:r>
    </w:p>
    <w:p>
      <w:pPr>
        <w:spacing w:before="0" w:after="240" w:lineRule="auto" w:line="276"/>
        <w:ind w:firstLine="2835" w:left="0" w:right="0"/>
        <w:jc w:val="both"/>
      </w:pPr>
      <w:r/>
      <w:r>
        <w:rPr>
          <w:rFonts w:ascii="Arial Narrow" w:hAnsi="Arial Narrow" w:eastAsia="Arial Narrow"/>
          <w:b w:val="0"/>
          <w:i w:val="0"/>
        </w:rPr>
        <w:t>Diante do exposto, requer-se a Vossa Excelência:</w:t>
      </w:r>
    </w:p>
    <w:p>
      <w:pPr>
        <w:spacing w:before="0" w:after="240" w:lineRule="auto" w:line="276"/>
        <w:ind w:firstLine="2835" w:left="0" w:right="0"/>
        <w:jc w:val="both"/>
      </w:pPr>
      <w:r/>
      <w:r>
        <w:rPr>
          <w:rFonts w:ascii="Arial Narrow" w:hAnsi="Arial Narrow" w:eastAsia="Arial Narrow"/>
          <w:b w:val="0"/>
          <w:i w:val="0"/>
        </w:rPr>
        <w:t>a) o reconhecimento da sucessão processual da executada KEILA CLEMENTINO DO NASCIMENTO pelo seu ESPÓLIO, mantido este no polo passivo da demanda, diante da inexistência de inventário aberto, conforme certidão anexa, com as devidas anotações no sistema;</w:t>
      </w:r>
    </w:p>
    <w:p>
      <w:pPr>
        <w:spacing w:before="0" w:after="240" w:lineRule="auto" w:line="276"/>
        <w:ind w:firstLine="2835" w:left="0" w:right="0"/>
        <w:jc w:val="both"/>
      </w:pPr>
      <w:r/>
      <w:r>
        <w:rPr>
          <w:rFonts w:ascii="Arial Narrow" w:hAnsi="Arial Narrow" w:eastAsia="Arial Narrow"/>
          <w:b w:val="0"/>
          <w:i w:val="0"/>
        </w:rPr>
        <w:t>b) que o espólio seja representado, até o compromisso de inventariante, por administrador provisório, nos termos dos arts. 613 e 614 do Código de Processo Civil e do art. 1.797 do Código Civil, na pessoa do executado JOSCELEY RIBEIRO DO NASCIMENTO, já citado nos autos, ou de quem Vossa Excelência entender cabível, observada a ordem legal;</w:t>
      </w:r>
    </w:p>
    <w:p>
      <w:pPr>
        <w:spacing w:before="0" w:after="240" w:lineRule="auto" w:line="276"/>
        <w:ind w:firstLine="2835" w:left="0" w:right="0"/>
        <w:jc w:val="both"/>
      </w:pPr>
      <w:r/>
      <w:r>
        <w:rPr>
          <w:rFonts w:ascii="Arial Narrow" w:hAnsi="Arial Narrow" w:eastAsia="Arial Narrow"/>
          <w:b w:val="0"/>
          <w:i w:val="0"/>
        </w:rPr>
        <w:t>c) o prosseguimento regular da execução, com a intimação do administrador provisório para os atos subsequentes;</w:t>
      </w:r>
    </w:p>
    <w:p>
      <w:pPr>
        <w:spacing w:before="0" w:after="240" w:lineRule="auto" w:line="276"/>
        <w:ind w:firstLine="2835" w:left="0" w:right="0"/>
        <w:jc w:val="both"/>
      </w:pPr>
      <w:r/>
      <w:r>
        <w:rPr>
          <w:rFonts w:ascii="Arial Narrow" w:hAnsi="Arial Narrow" w:eastAsia="Arial Narrow"/>
          <w:b w:val="0"/>
          <w:i w:val="0"/>
        </w:rPr>
        <w:t>d) subsidiariamente, caso Vossa Excelência entenda necessária a inclusão dos herdeiros, a concessão de prazo de 30 (trinta) dias para a sua qualificação.</w:t>
      </w:r>
    </w:p>
    <w:p w14:paraId="17DAEA4B" w14:textId="77777777" w:rsidR="00EB1060" w:rsidRDefault="00000000">
      <w:pPr>
        <w:spacing w:after="240" w:line="276" w:lineRule="auto"/>
        <w:ind w:firstLine="2835"/>
        <w:jc w:val="both"/>
      </w:pPr>
      <w:r>
        <w:t>Nestes termos,</w:t>
      </w:r>
    </w:p>
    <w:p w14:paraId="445B04DB" w14:textId="77777777" w:rsidR="00EB1060" w:rsidRDefault="00000000">
      <w:pPr>
        <w:spacing w:after="240" w:line="276" w:lineRule="auto"/>
        <w:ind w:firstLine="2835"/>
        <w:jc w:val="both"/>
      </w:pPr>
      <w:r>
        <w:t>Pede deferimento.</w:t>
      </w:r>
    </w:p>
    <w:p w14:paraId="72D61594" w14:textId="77777777" w:rsidR="00EB1060" w:rsidRDefault="00EB1060">
      <w:pPr>
        <w:spacing w:line="276" w:lineRule="auto"/>
        <w:jc w:val="both"/>
      </w:pPr>
    </w:p>
    <w:p w14:paraId="1A06CEAC" w14:textId="77777777" w:rsidR="00EB1060" w:rsidRDefault="00000000">
      <w:pPr>
        <w:spacing w:line="276" w:lineRule="auto"/>
        <w:jc w:val="center"/>
      </w:pPr>
      <w:r>
        <w:t>Goiânia, 9 de outubro de 2026.</w:t>
      </w:r>
    </w:p>
    <w:p w14:paraId="1233525C" w14:textId="77777777" w:rsidR="00EB1060" w:rsidRDefault="00EB1060">
      <w:pPr>
        <w:spacing w:line="276" w:lineRule="auto"/>
        <w:jc w:val="both"/>
      </w:pPr>
    </w:p>
    <w:p w14:paraId="55EB5DE6" w14:textId="77777777" w:rsidR="00EB1060" w:rsidRDefault="00000000">
      <w:pPr>
        <w:spacing w:line="276" w:lineRule="auto"/>
        <w:jc w:val="center"/>
      </w:pPr>
      <w:r>
        <w:rPr>
          <w:b/>
        </w:rPr>
        <w:t>PAULO ESTEVES SILVA CARNEIRO</w:t>
      </w:r>
    </w:p>
    <w:p w14:paraId="417E2F86" w14:textId="77777777" w:rsidR="00EB1060" w:rsidRDefault="00000000">
      <w:pPr>
        <w:spacing w:line="276" w:lineRule="auto"/>
        <w:jc w:val="center"/>
      </w:pPr>
      <w:r>
        <w:rPr>
          <w:b/>
        </w:rPr>
        <w:t>OAB/GO nº 48.070</w:t>
      </w:r>
    </w:p>
    <w:sectPr w:rsidR="00EB1060" w:rsidSect="008A1C23">
      <w:headerReference w:type="even" r:id="rId8"/>
      <w:headerReference w:type="default" r:id="rId9"/>
      <w:footerReference w:type="default" r:id="rId10"/>
      <w:headerReference w:type="first" r:id="rId11"/>
      <w:pgSz w:w="11906" w:h="16838"/>
      <w:pgMar w:top="1418" w:right="1418" w:bottom="1418" w:left="1418" w:header="284" w:footer="1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BC55D" w14:textId="77777777" w:rsidR="009004D3" w:rsidRDefault="009004D3" w:rsidP="007563EB">
      <w:r>
        <w:separator/>
      </w:r>
    </w:p>
  </w:endnote>
  <w:endnote w:type="continuationSeparator" w:id="0">
    <w:p w14:paraId="242C64F8" w14:textId="77777777" w:rsidR="009004D3" w:rsidRDefault="009004D3" w:rsidP="007563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BD195" w14:textId="77777777" w:rsidR="007563EB" w:rsidRDefault="00406A5E" w:rsidP="00B46013">
    <w:pPr>
      <w:pStyle w:val="Rodap"/>
      <w:ind w:left="-1418"/>
    </w:pPr>
    <w:r>
      <w:rPr>
        <w:noProof/>
        <w:lang w:eastAsia="pt-BR"/>
      </w:rPr>
      <w:drawing>
        <wp:inline distT="0" distB="0" distL="0" distR="0" wp14:anchorId="1A095ABE" wp14:editId="73EAF3B3">
          <wp:extent cx="7162800" cy="1272703"/>
          <wp:effectExtent l="0" t="0" r="0" b="3810"/>
          <wp:docPr id="16" name="Imagem 16" descr="C:\Users\Paulo\Desktop\shot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ulo\Desktop\shot0002.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83474" cy="1276376"/>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1E10B" w14:textId="77777777" w:rsidR="009004D3" w:rsidRDefault="009004D3" w:rsidP="007563EB">
      <w:r>
        <w:separator/>
      </w:r>
    </w:p>
  </w:footnote>
  <w:footnote w:type="continuationSeparator" w:id="0">
    <w:p w14:paraId="2FA8936D" w14:textId="77777777" w:rsidR="009004D3" w:rsidRDefault="009004D3" w:rsidP="007563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7D981" w14:textId="77777777" w:rsidR="007358D4" w:rsidRDefault="00000000">
    <w:pPr>
      <w:pStyle w:val="Cabealho"/>
    </w:pPr>
    <w:r>
      <w:rPr>
        <w:noProof/>
        <w:lang w:eastAsia="pt-BR"/>
      </w:rPr>
      <w:pict w14:anchorId="1D8180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25064" o:spid="_x0000_s1026" type="#_x0000_t75" style="position:absolute;margin-left:0;margin-top:0;width:450.4pt;height:348.8pt;z-index:-251657216;mso-position-horizontal:center;mso-position-horizontal-relative:margin;mso-position-vertical:center;mso-position-vertical-relative:margin" o:allowincell="f">
          <v:imagedata r:id="rId1" o:title="fff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D3F7A" w14:textId="77777777" w:rsidR="007563EB" w:rsidRDefault="00000000" w:rsidP="007563EB">
    <w:pPr>
      <w:pStyle w:val="Cabealho"/>
      <w:jc w:val="center"/>
    </w:pPr>
    <w:r>
      <w:rPr>
        <w:noProof/>
        <w:lang w:eastAsia="pt-BR"/>
      </w:rPr>
      <w:pict w14:anchorId="0C1D3B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25065" o:spid="_x0000_s1027" type="#_x0000_t75" style="position:absolute;left:0;text-align:left;margin-left:0;margin-top:0;width:450.4pt;height:348.8pt;z-index:-251656192;mso-position-horizontal:center;mso-position-horizontal-relative:margin;mso-position-vertical:center;mso-position-vertical-relative:margin" o:allowincell="f">
          <v:imagedata r:id="rId1" o:title="ffff"/>
          <w10:wrap anchorx="margin" anchory="margin"/>
        </v:shape>
      </w:pict>
    </w:r>
    <w:r w:rsidR="007563EB">
      <w:rPr>
        <w:noProof/>
        <w:lang w:eastAsia="pt-BR"/>
      </w:rPr>
      <w:drawing>
        <wp:inline distT="0" distB="0" distL="0" distR="0" wp14:anchorId="588311C0" wp14:editId="374CD80E">
          <wp:extent cx="1762125" cy="1076306"/>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TIP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771540" cy="1082057"/>
                  </a:xfrm>
                  <a:prstGeom prst="rect">
                    <a:avLst/>
                  </a:prstGeom>
                </pic:spPr>
              </pic:pic>
            </a:graphicData>
          </a:graphic>
        </wp:inline>
      </w:drawing>
    </w:r>
  </w:p>
  <w:p w14:paraId="702913D8" w14:textId="77777777" w:rsidR="005342E9" w:rsidRDefault="005342E9" w:rsidP="007563EB">
    <w:pPr>
      <w:pStyle w:val="Cabealh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F8275" w14:textId="77777777" w:rsidR="007358D4" w:rsidRDefault="00000000">
    <w:pPr>
      <w:pStyle w:val="Cabealho"/>
    </w:pPr>
    <w:r>
      <w:rPr>
        <w:noProof/>
        <w:lang w:eastAsia="pt-BR"/>
      </w:rPr>
      <w:pict w14:anchorId="179421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25063" o:spid="_x0000_s1025" type="#_x0000_t75" style="position:absolute;margin-left:0;margin-top:0;width:450.4pt;height:348.8pt;z-index:-251658240;mso-position-horizontal:center;mso-position-horizontal-relative:margin;mso-position-vertical:center;mso-position-vertical-relative:margin" o:allowincell="f">
          <v:imagedata r:id="rId1" o:title="fff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055E99"/>
    <w:multiLevelType w:val="hybridMultilevel"/>
    <w:tmpl w:val="D438FD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A456078"/>
    <w:multiLevelType w:val="hybridMultilevel"/>
    <w:tmpl w:val="C0B8D05A"/>
    <w:lvl w:ilvl="0" w:tplc="4486204E">
      <w:start w:val="1"/>
      <w:numFmt w:val="decimal"/>
      <w:lvlText w:val="%1."/>
      <w:lvlJc w:val="left"/>
      <w:pPr>
        <w:ind w:left="3225" w:hanging="39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 w15:restartNumberingAfterBreak="0">
    <w:nsid w:val="3B033294"/>
    <w:multiLevelType w:val="hybridMultilevel"/>
    <w:tmpl w:val="CF7C5450"/>
    <w:lvl w:ilvl="0" w:tplc="7C0EC6DE">
      <w:start w:val="1"/>
      <w:numFmt w:val="decimal"/>
      <w:lvlText w:val="%1."/>
      <w:lvlJc w:val="left"/>
      <w:pPr>
        <w:ind w:left="3585" w:hanging="360"/>
      </w:pPr>
      <w:rPr>
        <w:rFonts w:hint="default"/>
      </w:rPr>
    </w:lvl>
    <w:lvl w:ilvl="1" w:tplc="04160019" w:tentative="1">
      <w:start w:val="1"/>
      <w:numFmt w:val="lowerLetter"/>
      <w:lvlText w:val="%2."/>
      <w:lvlJc w:val="left"/>
      <w:pPr>
        <w:ind w:left="4305" w:hanging="360"/>
      </w:pPr>
    </w:lvl>
    <w:lvl w:ilvl="2" w:tplc="0416001B" w:tentative="1">
      <w:start w:val="1"/>
      <w:numFmt w:val="lowerRoman"/>
      <w:lvlText w:val="%3."/>
      <w:lvlJc w:val="right"/>
      <w:pPr>
        <w:ind w:left="5025" w:hanging="180"/>
      </w:pPr>
    </w:lvl>
    <w:lvl w:ilvl="3" w:tplc="0416000F" w:tentative="1">
      <w:start w:val="1"/>
      <w:numFmt w:val="decimal"/>
      <w:lvlText w:val="%4."/>
      <w:lvlJc w:val="left"/>
      <w:pPr>
        <w:ind w:left="5745" w:hanging="360"/>
      </w:pPr>
    </w:lvl>
    <w:lvl w:ilvl="4" w:tplc="04160019" w:tentative="1">
      <w:start w:val="1"/>
      <w:numFmt w:val="lowerLetter"/>
      <w:lvlText w:val="%5."/>
      <w:lvlJc w:val="left"/>
      <w:pPr>
        <w:ind w:left="6465" w:hanging="360"/>
      </w:pPr>
    </w:lvl>
    <w:lvl w:ilvl="5" w:tplc="0416001B" w:tentative="1">
      <w:start w:val="1"/>
      <w:numFmt w:val="lowerRoman"/>
      <w:lvlText w:val="%6."/>
      <w:lvlJc w:val="right"/>
      <w:pPr>
        <w:ind w:left="7185" w:hanging="180"/>
      </w:pPr>
    </w:lvl>
    <w:lvl w:ilvl="6" w:tplc="0416000F" w:tentative="1">
      <w:start w:val="1"/>
      <w:numFmt w:val="decimal"/>
      <w:lvlText w:val="%7."/>
      <w:lvlJc w:val="left"/>
      <w:pPr>
        <w:ind w:left="7905" w:hanging="360"/>
      </w:pPr>
    </w:lvl>
    <w:lvl w:ilvl="7" w:tplc="04160019" w:tentative="1">
      <w:start w:val="1"/>
      <w:numFmt w:val="lowerLetter"/>
      <w:lvlText w:val="%8."/>
      <w:lvlJc w:val="left"/>
      <w:pPr>
        <w:ind w:left="8625" w:hanging="360"/>
      </w:pPr>
    </w:lvl>
    <w:lvl w:ilvl="8" w:tplc="0416001B" w:tentative="1">
      <w:start w:val="1"/>
      <w:numFmt w:val="lowerRoman"/>
      <w:lvlText w:val="%9."/>
      <w:lvlJc w:val="right"/>
      <w:pPr>
        <w:ind w:left="9345" w:hanging="180"/>
      </w:pPr>
    </w:lvl>
  </w:abstractNum>
  <w:abstractNum w:abstractNumId="3" w15:restartNumberingAfterBreak="0">
    <w:nsid w:val="5419142B"/>
    <w:multiLevelType w:val="hybridMultilevel"/>
    <w:tmpl w:val="21A2C06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18366899">
    <w:abstractNumId w:val="1"/>
  </w:num>
  <w:num w:numId="2" w16cid:durableId="882981773">
    <w:abstractNumId w:val="2"/>
  </w:num>
  <w:num w:numId="3" w16cid:durableId="1676807438">
    <w:abstractNumId w:val="0"/>
  </w:num>
  <w:num w:numId="4" w16cid:durableId="5664533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3EB"/>
    <w:rsid w:val="00000957"/>
    <w:rsid w:val="00005513"/>
    <w:rsid w:val="00016984"/>
    <w:rsid w:val="000268AD"/>
    <w:rsid w:val="0004177F"/>
    <w:rsid w:val="0005154F"/>
    <w:rsid w:val="000530D6"/>
    <w:rsid w:val="00090034"/>
    <w:rsid w:val="00090447"/>
    <w:rsid w:val="000A396B"/>
    <w:rsid w:val="000A7A67"/>
    <w:rsid w:val="000B7E6E"/>
    <w:rsid w:val="000F104E"/>
    <w:rsid w:val="001034B9"/>
    <w:rsid w:val="00111E06"/>
    <w:rsid w:val="00115E97"/>
    <w:rsid w:val="00126A35"/>
    <w:rsid w:val="0013083A"/>
    <w:rsid w:val="001469E2"/>
    <w:rsid w:val="00160B01"/>
    <w:rsid w:val="001719D1"/>
    <w:rsid w:val="00174046"/>
    <w:rsid w:val="0018480D"/>
    <w:rsid w:val="001A0733"/>
    <w:rsid w:val="001B2A9B"/>
    <w:rsid w:val="001C3C06"/>
    <w:rsid w:val="001C4AD9"/>
    <w:rsid w:val="001D7EC3"/>
    <w:rsid w:val="001E1914"/>
    <w:rsid w:val="001E1E1D"/>
    <w:rsid w:val="001E22AF"/>
    <w:rsid w:val="001F15DD"/>
    <w:rsid w:val="001F1710"/>
    <w:rsid w:val="001F24BA"/>
    <w:rsid w:val="001F3D37"/>
    <w:rsid w:val="001F79C6"/>
    <w:rsid w:val="002010D0"/>
    <w:rsid w:val="00202392"/>
    <w:rsid w:val="00223F00"/>
    <w:rsid w:val="00244D87"/>
    <w:rsid w:val="00252512"/>
    <w:rsid w:val="0025315E"/>
    <w:rsid w:val="00261C9B"/>
    <w:rsid w:val="002632D8"/>
    <w:rsid w:val="00263BA8"/>
    <w:rsid w:val="00281B4E"/>
    <w:rsid w:val="0028334C"/>
    <w:rsid w:val="002975B7"/>
    <w:rsid w:val="002C319D"/>
    <w:rsid w:val="002D66B7"/>
    <w:rsid w:val="002E62CB"/>
    <w:rsid w:val="002F18B7"/>
    <w:rsid w:val="002F2423"/>
    <w:rsid w:val="002F5821"/>
    <w:rsid w:val="00303A59"/>
    <w:rsid w:val="00312ABD"/>
    <w:rsid w:val="00342847"/>
    <w:rsid w:val="00344B74"/>
    <w:rsid w:val="00345B57"/>
    <w:rsid w:val="00347CE2"/>
    <w:rsid w:val="00350E9D"/>
    <w:rsid w:val="00360F13"/>
    <w:rsid w:val="00370806"/>
    <w:rsid w:val="003717C6"/>
    <w:rsid w:val="003A0785"/>
    <w:rsid w:val="00400051"/>
    <w:rsid w:val="0040666B"/>
    <w:rsid w:val="00406A5E"/>
    <w:rsid w:val="00416232"/>
    <w:rsid w:val="00417809"/>
    <w:rsid w:val="00421549"/>
    <w:rsid w:val="00431B8A"/>
    <w:rsid w:val="0046328F"/>
    <w:rsid w:val="004B29BA"/>
    <w:rsid w:val="004C4EC6"/>
    <w:rsid w:val="004F0E0D"/>
    <w:rsid w:val="004F1C65"/>
    <w:rsid w:val="004F534B"/>
    <w:rsid w:val="00512AE6"/>
    <w:rsid w:val="005241D3"/>
    <w:rsid w:val="005244F7"/>
    <w:rsid w:val="005256CB"/>
    <w:rsid w:val="005342E9"/>
    <w:rsid w:val="005424BF"/>
    <w:rsid w:val="00544546"/>
    <w:rsid w:val="00555225"/>
    <w:rsid w:val="00556B86"/>
    <w:rsid w:val="005659BF"/>
    <w:rsid w:val="0058033C"/>
    <w:rsid w:val="005870FC"/>
    <w:rsid w:val="00587198"/>
    <w:rsid w:val="005A070C"/>
    <w:rsid w:val="005A17D4"/>
    <w:rsid w:val="005C1636"/>
    <w:rsid w:val="005C2DD6"/>
    <w:rsid w:val="005E6E30"/>
    <w:rsid w:val="00606BB4"/>
    <w:rsid w:val="00611923"/>
    <w:rsid w:val="00612527"/>
    <w:rsid w:val="006152EA"/>
    <w:rsid w:val="00622B9A"/>
    <w:rsid w:val="00622BB2"/>
    <w:rsid w:val="00623CD9"/>
    <w:rsid w:val="00651109"/>
    <w:rsid w:val="00675A5B"/>
    <w:rsid w:val="006A4128"/>
    <w:rsid w:val="006B36B1"/>
    <w:rsid w:val="006B630D"/>
    <w:rsid w:val="006E06FB"/>
    <w:rsid w:val="006E5B9A"/>
    <w:rsid w:val="006E61E6"/>
    <w:rsid w:val="006F6D3B"/>
    <w:rsid w:val="00702627"/>
    <w:rsid w:val="0070730F"/>
    <w:rsid w:val="00715F6D"/>
    <w:rsid w:val="00725D70"/>
    <w:rsid w:val="007260A1"/>
    <w:rsid w:val="00732738"/>
    <w:rsid w:val="007358D4"/>
    <w:rsid w:val="007431D2"/>
    <w:rsid w:val="00750CE0"/>
    <w:rsid w:val="007563EB"/>
    <w:rsid w:val="00780089"/>
    <w:rsid w:val="00784061"/>
    <w:rsid w:val="0078709F"/>
    <w:rsid w:val="0079707C"/>
    <w:rsid w:val="007B4726"/>
    <w:rsid w:val="007D0194"/>
    <w:rsid w:val="007D34B2"/>
    <w:rsid w:val="007D4D14"/>
    <w:rsid w:val="007F06FC"/>
    <w:rsid w:val="007F0ED1"/>
    <w:rsid w:val="007F6D89"/>
    <w:rsid w:val="00803564"/>
    <w:rsid w:val="00803744"/>
    <w:rsid w:val="00804314"/>
    <w:rsid w:val="008110C3"/>
    <w:rsid w:val="00823927"/>
    <w:rsid w:val="008526D8"/>
    <w:rsid w:val="00855284"/>
    <w:rsid w:val="00863E89"/>
    <w:rsid w:val="00864D1C"/>
    <w:rsid w:val="008867BB"/>
    <w:rsid w:val="008A1C23"/>
    <w:rsid w:val="008B0F2B"/>
    <w:rsid w:val="008D2809"/>
    <w:rsid w:val="009004D3"/>
    <w:rsid w:val="00901E2C"/>
    <w:rsid w:val="0091391A"/>
    <w:rsid w:val="00930CCA"/>
    <w:rsid w:val="009338D2"/>
    <w:rsid w:val="00946D81"/>
    <w:rsid w:val="00955612"/>
    <w:rsid w:val="00955AF0"/>
    <w:rsid w:val="00961E25"/>
    <w:rsid w:val="00962EEB"/>
    <w:rsid w:val="0096350B"/>
    <w:rsid w:val="00971E38"/>
    <w:rsid w:val="009742E1"/>
    <w:rsid w:val="00974C6E"/>
    <w:rsid w:val="00983381"/>
    <w:rsid w:val="0098416D"/>
    <w:rsid w:val="009B04A7"/>
    <w:rsid w:val="009B06B2"/>
    <w:rsid w:val="009C5D9F"/>
    <w:rsid w:val="009D07C8"/>
    <w:rsid w:val="009D33E8"/>
    <w:rsid w:val="009E230F"/>
    <w:rsid w:val="009E2D28"/>
    <w:rsid w:val="00A40151"/>
    <w:rsid w:val="00A5665B"/>
    <w:rsid w:val="00A80177"/>
    <w:rsid w:val="00A84A39"/>
    <w:rsid w:val="00AA37F8"/>
    <w:rsid w:val="00AB255F"/>
    <w:rsid w:val="00AD54D9"/>
    <w:rsid w:val="00AD6FDF"/>
    <w:rsid w:val="00AD779E"/>
    <w:rsid w:val="00AE0808"/>
    <w:rsid w:val="00AE579A"/>
    <w:rsid w:val="00B04661"/>
    <w:rsid w:val="00B07DA2"/>
    <w:rsid w:val="00B10A11"/>
    <w:rsid w:val="00B159C7"/>
    <w:rsid w:val="00B41918"/>
    <w:rsid w:val="00B46013"/>
    <w:rsid w:val="00B4624A"/>
    <w:rsid w:val="00B475D5"/>
    <w:rsid w:val="00B6272F"/>
    <w:rsid w:val="00B6617D"/>
    <w:rsid w:val="00B67107"/>
    <w:rsid w:val="00B74D22"/>
    <w:rsid w:val="00B76157"/>
    <w:rsid w:val="00B8538E"/>
    <w:rsid w:val="00B920B5"/>
    <w:rsid w:val="00B95765"/>
    <w:rsid w:val="00B95AE0"/>
    <w:rsid w:val="00BA0985"/>
    <w:rsid w:val="00BA1B33"/>
    <w:rsid w:val="00BB7147"/>
    <w:rsid w:val="00BC456F"/>
    <w:rsid w:val="00BE4B7E"/>
    <w:rsid w:val="00BE61BB"/>
    <w:rsid w:val="00BF1FBA"/>
    <w:rsid w:val="00C07919"/>
    <w:rsid w:val="00C138F1"/>
    <w:rsid w:val="00C13913"/>
    <w:rsid w:val="00C20829"/>
    <w:rsid w:val="00C456AD"/>
    <w:rsid w:val="00C55F9A"/>
    <w:rsid w:val="00C70D51"/>
    <w:rsid w:val="00C7226F"/>
    <w:rsid w:val="00C924E2"/>
    <w:rsid w:val="00C97971"/>
    <w:rsid w:val="00CB4118"/>
    <w:rsid w:val="00CC331F"/>
    <w:rsid w:val="00CD3C2B"/>
    <w:rsid w:val="00CD7AC7"/>
    <w:rsid w:val="00CE23A8"/>
    <w:rsid w:val="00CF6DD4"/>
    <w:rsid w:val="00D11265"/>
    <w:rsid w:val="00D35F59"/>
    <w:rsid w:val="00D561B9"/>
    <w:rsid w:val="00D562F1"/>
    <w:rsid w:val="00D827CD"/>
    <w:rsid w:val="00D8506F"/>
    <w:rsid w:val="00DA71D4"/>
    <w:rsid w:val="00DA7696"/>
    <w:rsid w:val="00DB2688"/>
    <w:rsid w:val="00DC0721"/>
    <w:rsid w:val="00DD2B35"/>
    <w:rsid w:val="00DD7D60"/>
    <w:rsid w:val="00E21F75"/>
    <w:rsid w:val="00E24F26"/>
    <w:rsid w:val="00E304C1"/>
    <w:rsid w:val="00E511D4"/>
    <w:rsid w:val="00E573AB"/>
    <w:rsid w:val="00E60F32"/>
    <w:rsid w:val="00E666CD"/>
    <w:rsid w:val="00E67DBC"/>
    <w:rsid w:val="00E800C1"/>
    <w:rsid w:val="00E811FD"/>
    <w:rsid w:val="00E8411B"/>
    <w:rsid w:val="00E84F69"/>
    <w:rsid w:val="00EA1E1F"/>
    <w:rsid w:val="00EA2BA0"/>
    <w:rsid w:val="00EB1060"/>
    <w:rsid w:val="00EB71DD"/>
    <w:rsid w:val="00EC0F3A"/>
    <w:rsid w:val="00EC47AF"/>
    <w:rsid w:val="00EC61E5"/>
    <w:rsid w:val="00ED1360"/>
    <w:rsid w:val="00ED3E43"/>
    <w:rsid w:val="00ED40C0"/>
    <w:rsid w:val="00EE2678"/>
    <w:rsid w:val="00F07978"/>
    <w:rsid w:val="00F10843"/>
    <w:rsid w:val="00F211B0"/>
    <w:rsid w:val="00F2417D"/>
    <w:rsid w:val="00F251C2"/>
    <w:rsid w:val="00F26FB2"/>
    <w:rsid w:val="00F35D15"/>
    <w:rsid w:val="00F6388B"/>
    <w:rsid w:val="00F7425F"/>
    <w:rsid w:val="00F7568C"/>
    <w:rsid w:val="00F921FC"/>
    <w:rsid w:val="00F954AC"/>
    <w:rsid w:val="00FA017F"/>
    <w:rsid w:val="00FA30A1"/>
    <w:rsid w:val="00FA394F"/>
    <w:rsid w:val="00FA5647"/>
    <w:rsid w:val="00FB0CF4"/>
    <w:rsid w:val="00FB259B"/>
    <w:rsid w:val="00FC76BC"/>
    <w:rsid w:val="00FE3EBD"/>
    <w:rsid w:val="00FE45E8"/>
    <w:rsid w:val="00FF00BE"/>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71D5B"/>
  <w15:docId w15:val="{2B8E7AA3-8691-420B-9FF5-35DCCC370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D22"/>
    <w:pPr>
      <w:spacing w:after="0" w:line="240" w:lineRule="auto"/>
    </w:pPr>
    <w:rPr>
      <w:rFonts w:ascii="Arial Narrow" w:eastAsia="Arial Narrow" w:hAnsi="Arial Narrow" w:cs="Arial Narrow"/>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7563EB"/>
    <w:pPr>
      <w:tabs>
        <w:tab w:val="center" w:pos="4252"/>
        <w:tab w:val="right" w:pos="8504"/>
      </w:tabs>
    </w:pPr>
    <w:rPr>
      <w:rFonts w:asciiTheme="minorHAnsi" w:eastAsiaTheme="minorHAnsi" w:hAnsiTheme="minorHAnsi" w:cstheme="minorBidi"/>
      <w:sz w:val="22"/>
      <w:szCs w:val="22"/>
      <w:lang w:eastAsia="en-US"/>
    </w:rPr>
  </w:style>
  <w:style w:type="character" w:customStyle="1" w:styleId="CabealhoChar">
    <w:name w:val="Cabeçalho Char"/>
    <w:basedOn w:val="Fontepargpadro"/>
    <w:link w:val="Cabealho"/>
    <w:uiPriority w:val="99"/>
    <w:rsid w:val="007563EB"/>
  </w:style>
  <w:style w:type="paragraph" w:styleId="Rodap">
    <w:name w:val="footer"/>
    <w:basedOn w:val="Normal"/>
    <w:link w:val="RodapChar"/>
    <w:uiPriority w:val="99"/>
    <w:unhideWhenUsed/>
    <w:rsid w:val="007563EB"/>
    <w:pPr>
      <w:tabs>
        <w:tab w:val="center" w:pos="4252"/>
        <w:tab w:val="right" w:pos="8504"/>
      </w:tabs>
    </w:pPr>
    <w:rPr>
      <w:rFonts w:asciiTheme="minorHAnsi" w:eastAsiaTheme="minorHAnsi" w:hAnsiTheme="minorHAnsi" w:cstheme="minorBidi"/>
      <w:sz w:val="22"/>
      <w:szCs w:val="22"/>
      <w:lang w:eastAsia="en-US"/>
    </w:rPr>
  </w:style>
  <w:style w:type="character" w:customStyle="1" w:styleId="RodapChar">
    <w:name w:val="Rodapé Char"/>
    <w:basedOn w:val="Fontepargpadro"/>
    <w:link w:val="Rodap"/>
    <w:uiPriority w:val="99"/>
    <w:rsid w:val="007563EB"/>
  </w:style>
  <w:style w:type="paragraph" w:styleId="Textodebalo">
    <w:name w:val="Balloon Text"/>
    <w:basedOn w:val="Normal"/>
    <w:link w:val="TextodebaloChar"/>
    <w:uiPriority w:val="99"/>
    <w:semiHidden/>
    <w:unhideWhenUsed/>
    <w:rsid w:val="007563EB"/>
    <w:rPr>
      <w:rFonts w:ascii="Tahoma" w:eastAsiaTheme="minorHAnsi" w:hAnsi="Tahoma" w:cs="Tahoma"/>
      <w:sz w:val="16"/>
      <w:szCs w:val="16"/>
      <w:lang w:eastAsia="en-US"/>
    </w:rPr>
  </w:style>
  <w:style w:type="character" w:customStyle="1" w:styleId="TextodebaloChar">
    <w:name w:val="Texto de balão Char"/>
    <w:basedOn w:val="Fontepargpadro"/>
    <w:link w:val="Textodebalo"/>
    <w:uiPriority w:val="99"/>
    <w:semiHidden/>
    <w:rsid w:val="007563EB"/>
    <w:rPr>
      <w:rFonts w:ascii="Tahoma" w:hAnsi="Tahoma" w:cs="Tahoma"/>
      <w:sz w:val="16"/>
      <w:szCs w:val="16"/>
    </w:rPr>
  </w:style>
  <w:style w:type="paragraph" w:styleId="Subttulo">
    <w:name w:val="Subtitle"/>
    <w:basedOn w:val="Normal"/>
    <w:next w:val="Normal"/>
    <w:link w:val="SubttuloChar"/>
    <w:qFormat/>
    <w:rsid w:val="00B74D22"/>
    <w:pPr>
      <w:spacing w:after="60"/>
      <w:jc w:val="center"/>
      <w:outlineLvl w:val="1"/>
    </w:pPr>
    <w:rPr>
      <w:rFonts w:ascii="Cambria" w:hAnsi="Cambria"/>
    </w:rPr>
  </w:style>
  <w:style w:type="character" w:customStyle="1" w:styleId="SubttuloChar">
    <w:name w:val="Subtítulo Char"/>
    <w:basedOn w:val="Fontepargpadro"/>
    <w:link w:val="Subttulo"/>
    <w:rsid w:val="00B74D22"/>
    <w:rPr>
      <w:rFonts w:ascii="Cambria" w:eastAsia="Times New Roman" w:hAnsi="Cambria" w:cs="Times New Roman"/>
      <w:sz w:val="24"/>
      <w:szCs w:val="24"/>
      <w:lang w:eastAsia="pt-BR"/>
    </w:rPr>
  </w:style>
  <w:style w:type="paragraph" w:styleId="NormalWeb">
    <w:name w:val="Normal (Web)"/>
    <w:basedOn w:val="Normal"/>
    <w:uiPriority w:val="99"/>
    <w:unhideWhenUsed/>
    <w:rsid w:val="00FA5647"/>
    <w:pPr>
      <w:spacing w:before="100" w:beforeAutospacing="1" w:after="100" w:afterAutospacing="1"/>
    </w:pPr>
  </w:style>
  <w:style w:type="character" w:customStyle="1" w:styleId="desktop-title-subcontent">
    <w:name w:val="desktop-title-subcontent"/>
    <w:basedOn w:val="Fontepargpadro"/>
    <w:rsid w:val="00606BB4"/>
  </w:style>
  <w:style w:type="character" w:styleId="Forte">
    <w:name w:val="Strong"/>
    <w:uiPriority w:val="22"/>
    <w:qFormat/>
    <w:rsid w:val="008A1C23"/>
    <w:rPr>
      <w:b/>
      <w:bCs/>
    </w:rPr>
  </w:style>
  <w:style w:type="paragraph" w:styleId="Pr-formataoHTML">
    <w:name w:val="HTML Preformatted"/>
    <w:basedOn w:val="Normal"/>
    <w:link w:val="Pr-formataoHTMLChar"/>
    <w:uiPriority w:val="99"/>
    <w:unhideWhenUsed/>
    <w:rsid w:val="008A1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x-none" w:eastAsia="x-none"/>
    </w:rPr>
  </w:style>
  <w:style w:type="character" w:customStyle="1" w:styleId="Pr-formataoHTMLChar">
    <w:name w:val="Pré-formatação HTML Char"/>
    <w:basedOn w:val="Fontepargpadro"/>
    <w:link w:val="Pr-formataoHTML"/>
    <w:uiPriority w:val="99"/>
    <w:rsid w:val="008A1C23"/>
    <w:rPr>
      <w:rFonts w:ascii="Courier New" w:eastAsia="Times New Roman" w:hAnsi="Courier New" w:cs="Times New Roman"/>
      <w:sz w:val="20"/>
      <w:szCs w:val="20"/>
      <w:lang w:val="x-none" w:eastAsia="x-none"/>
    </w:rPr>
  </w:style>
  <w:style w:type="character" w:customStyle="1" w:styleId="highlightbrs">
    <w:name w:val="highlightbrs"/>
    <w:basedOn w:val="Fontepargpadro"/>
    <w:rsid w:val="008A1C23"/>
  </w:style>
  <w:style w:type="paragraph" w:customStyle="1" w:styleId="Standard">
    <w:name w:val="Standard"/>
    <w:rsid w:val="008A1C23"/>
    <w:pPr>
      <w:suppressAutoHyphens/>
      <w:autoSpaceDN w:val="0"/>
      <w:spacing w:after="0" w:line="240" w:lineRule="auto"/>
      <w:textAlignment w:val="baseline"/>
    </w:pPr>
    <w:rPr>
      <w:rFonts w:ascii="Times New Roman" w:eastAsia="Times New Roman" w:hAnsi="Times New Roman" w:cs="Times New Roman"/>
      <w:kern w:val="3"/>
      <w:sz w:val="24"/>
      <w:szCs w:val="24"/>
      <w:lang w:eastAsia="pt-BR"/>
    </w:rPr>
  </w:style>
  <w:style w:type="character" w:customStyle="1" w:styleId="w8qarf">
    <w:name w:val="w8qarf"/>
    <w:basedOn w:val="Fontepargpadro"/>
    <w:rsid w:val="00416232"/>
  </w:style>
  <w:style w:type="character" w:customStyle="1" w:styleId="lrzxr">
    <w:name w:val="lrzxr"/>
    <w:basedOn w:val="Fontepargpadro"/>
    <w:rsid w:val="00416232"/>
  </w:style>
  <w:style w:type="table" w:styleId="Tabelacomgrade">
    <w:name w:val="Table Grid"/>
    <w:basedOn w:val="Tabelanormal"/>
    <w:uiPriority w:val="59"/>
    <w:rsid w:val="00D82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rtigo">
    <w:name w:val="artigo"/>
    <w:basedOn w:val="Normal"/>
    <w:rsid w:val="00D827CD"/>
    <w:pPr>
      <w:spacing w:before="100" w:beforeAutospacing="1" w:after="100" w:afterAutospacing="1"/>
    </w:pPr>
  </w:style>
  <w:style w:type="paragraph" w:customStyle="1" w:styleId="paragrafopadrao">
    <w:name w:val="paragrafopadrao"/>
    <w:basedOn w:val="Normal"/>
    <w:rsid w:val="005342E9"/>
    <w:pPr>
      <w:spacing w:before="100" w:beforeAutospacing="1" w:after="100" w:afterAutospacing="1"/>
    </w:pPr>
  </w:style>
  <w:style w:type="character" w:customStyle="1" w:styleId="resumo">
    <w:name w:val="resumo"/>
    <w:basedOn w:val="Fontepargpadro"/>
    <w:rsid w:val="005342E9"/>
  </w:style>
  <w:style w:type="character" w:styleId="Hyperlink">
    <w:name w:val="Hyperlink"/>
    <w:basedOn w:val="Fontepargpadro"/>
    <w:uiPriority w:val="99"/>
    <w:semiHidden/>
    <w:unhideWhenUsed/>
    <w:rsid w:val="00400051"/>
    <w:rPr>
      <w:color w:val="0000FF"/>
      <w:u w:val="single"/>
    </w:rPr>
  </w:style>
  <w:style w:type="paragraph" w:styleId="PargrafodaLista">
    <w:name w:val="List Paragraph"/>
    <w:basedOn w:val="Normal"/>
    <w:uiPriority w:val="34"/>
    <w:qFormat/>
    <w:rsid w:val="00F211B0"/>
    <w:pPr>
      <w:ind w:left="720"/>
      <w:contextualSpacing/>
    </w:pPr>
  </w:style>
  <w:style w:type="character" w:customStyle="1" w:styleId="dispositivo">
    <w:name w:val="dispositivo"/>
    <w:basedOn w:val="Fontepargpadro"/>
    <w:rsid w:val="00B10A11"/>
  </w:style>
  <w:style w:type="paragraph" w:styleId="Textodenotaderodap">
    <w:name w:val="footnote text"/>
    <w:basedOn w:val="Normal"/>
    <w:link w:val="TextodenotaderodapChar"/>
    <w:uiPriority w:val="99"/>
    <w:unhideWhenUsed/>
    <w:rsid w:val="006E06FB"/>
    <w:rPr>
      <w:sz w:val="20"/>
      <w:szCs w:val="20"/>
    </w:rPr>
  </w:style>
  <w:style w:type="character" w:customStyle="1" w:styleId="TextodenotaderodapChar">
    <w:name w:val="Texto de nota de rodapé Char"/>
    <w:basedOn w:val="Fontepargpadro"/>
    <w:link w:val="Textodenotaderodap"/>
    <w:uiPriority w:val="99"/>
    <w:rsid w:val="006E06FB"/>
    <w:rPr>
      <w:rFonts w:ascii="Times New Roman" w:eastAsia="Times New Roman" w:hAnsi="Times New Roman" w:cs="Times New Roman"/>
      <w:sz w:val="20"/>
      <w:szCs w:val="20"/>
      <w:lang w:eastAsia="pt-BR"/>
    </w:rPr>
  </w:style>
  <w:style w:type="character" w:styleId="Refdenotaderodap">
    <w:name w:val="footnote reference"/>
    <w:unhideWhenUsed/>
    <w:rsid w:val="006E06F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78870">
      <w:bodyDiv w:val="1"/>
      <w:marLeft w:val="0"/>
      <w:marRight w:val="0"/>
      <w:marTop w:val="0"/>
      <w:marBottom w:val="0"/>
      <w:divBdr>
        <w:top w:val="none" w:sz="0" w:space="0" w:color="auto"/>
        <w:left w:val="none" w:sz="0" w:space="0" w:color="auto"/>
        <w:bottom w:val="none" w:sz="0" w:space="0" w:color="auto"/>
        <w:right w:val="none" w:sz="0" w:space="0" w:color="auto"/>
      </w:divBdr>
      <w:divsChild>
        <w:div w:id="1182473666">
          <w:blockQuote w:val="1"/>
          <w:marLeft w:val="720"/>
          <w:marRight w:val="720"/>
          <w:marTop w:val="100"/>
          <w:marBottom w:val="100"/>
          <w:divBdr>
            <w:top w:val="none" w:sz="0" w:space="0" w:color="auto"/>
            <w:left w:val="none" w:sz="0" w:space="0" w:color="auto"/>
            <w:bottom w:val="none" w:sz="0" w:space="0" w:color="auto"/>
            <w:right w:val="none" w:sz="0" w:space="0" w:color="auto"/>
          </w:divBdr>
        </w:div>
        <w:div w:id="631249586">
          <w:blockQuote w:val="1"/>
          <w:marLeft w:val="720"/>
          <w:marRight w:val="720"/>
          <w:marTop w:val="100"/>
          <w:marBottom w:val="100"/>
          <w:divBdr>
            <w:top w:val="none" w:sz="0" w:space="0" w:color="auto"/>
            <w:left w:val="none" w:sz="0" w:space="0" w:color="auto"/>
            <w:bottom w:val="none" w:sz="0" w:space="0" w:color="auto"/>
            <w:right w:val="none" w:sz="0" w:space="0" w:color="auto"/>
          </w:divBdr>
        </w:div>
        <w:div w:id="77286925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3966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763978">
      <w:bodyDiv w:val="1"/>
      <w:marLeft w:val="0"/>
      <w:marRight w:val="0"/>
      <w:marTop w:val="0"/>
      <w:marBottom w:val="0"/>
      <w:divBdr>
        <w:top w:val="none" w:sz="0" w:space="0" w:color="auto"/>
        <w:left w:val="none" w:sz="0" w:space="0" w:color="auto"/>
        <w:bottom w:val="none" w:sz="0" w:space="0" w:color="auto"/>
        <w:right w:val="none" w:sz="0" w:space="0" w:color="auto"/>
      </w:divBdr>
      <w:divsChild>
        <w:div w:id="2074544759">
          <w:marLeft w:val="0"/>
          <w:marRight w:val="0"/>
          <w:marTop w:val="0"/>
          <w:marBottom w:val="0"/>
          <w:divBdr>
            <w:top w:val="none" w:sz="0" w:space="0" w:color="auto"/>
            <w:left w:val="none" w:sz="0" w:space="0" w:color="auto"/>
            <w:bottom w:val="none" w:sz="0" w:space="0" w:color="auto"/>
            <w:right w:val="none" w:sz="0" w:space="0" w:color="auto"/>
          </w:divBdr>
          <w:divsChild>
            <w:div w:id="1039629908">
              <w:marLeft w:val="0"/>
              <w:marRight w:val="0"/>
              <w:marTop w:val="0"/>
              <w:marBottom w:val="0"/>
              <w:divBdr>
                <w:top w:val="none" w:sz="0" w:space="0" w:color="auto"/>
                <w:left w:val="none" w:sz="0" w:space="0" w:color="auto"/>
                <w:bottom w:val="none" w:sz="0" w:space="0" w:color="auto"/>
                <w:right w:val="none" w:sz="0" w:space="0" w:color="auto"/>
              </w:divBdr>
              <w:divsChild>
                <w:div w:id="21070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13192">
      <w:bodyDiv w:val="1"/>
      <w:marLeft w:val="0"/>
      <w:marRight w:val="0"/>
      <w:marTop w:val="0"/>
      <w:marBottom w:val="0"/>
      <w:divBdr>
        <w:top w:val="none" w:sz="0" w:space="0" w:color="auto"/>
        <w:left w:val="none" w:sz="0" w:space="0" w:color="auto"/>
        <w:bottom w:val="none" w:sz="0" w:space="0" w:color="auto"/>
        <w:right w:val="none" w:sz="0" w:space="0" w:color="auto"/>
      </w:divBdr>
    </w:div>
    <w:div w:id="263464681">
      <w:bodyDiv w:val="1"/>
      <w:marLeft w:val="0"/>
      <w:marRight w:val="0"/>
      <w:marTop w:val="0"/>
      <w:marBottom w:val="0"/>
      <w:divBdr>
        <w:top w:val="none" w:sz="0" w:space="0" w:color="auto"/>
        <w:left w:val="none" w:sz="0" w:space="0" w:color="auto"/>
        <w:bottom w:val="none" w:sz="0" w:space="0" w:color="auto"/>
        <w:right w:val="none" w:sz="0" w:space="0" w:color="auto"/>
      </w:divBdr>
    </w:div>
    <w:div w:id="328757613">
      <w:bodyDiv w:val="1"/>
      <w:marLeft w:val="0"/>
      <w:marRight w:val="0"/>
      <w:marTop w:val="0"/>
      <w:marBottom w:val="0"/>
      <w:divBdr>
        <w:top w:val="none" w:sz="0" w:space="0" w:color="auto"/>
        <w:left w:val="none" w:sz="0" w:space="0" w:color="auto"/>
        <w:bottom w:val="none" w:sz="0" w:space="0" w:color="auto"/>
        <w:right w:val="none" w:sz="0" w:space="0" w:color="auto"/>
      </w:divBdr>
    </w:div>
    <w:div w:id="329332078">
      <w:bodyDiv w:val="1"/>
      <w:marLeft w:val="0"/>
      <w:marRight w:val="0"/>
      <w:marTop w:val="0"/>
      <w:marBottom w:val="0"/>
      <w:divBdr>
        <w:top w:val="none" w:sz="0" w:space="0" w:color="auto"/>
        <w:left w:val="none" w:sz="0" w:space="0" w:color="auto"/>
        <w:bottom w:val="none" w:sz="0" w:space="0" w:color="auto"/>
        <w:right w:val="none" w:sz="0" w:space="0" w:color="auto"/>
      </w:divBdr>
    </w:div>
    <w:div w:id="334915945">
      <w:bodyDiv w:val="1"/>
      <w:marLeft w:val="0"/>
      <w:marRight w:val="0"/>
      <w:marTop w:val="0"/>
      <w:marBottom w:val="0"/>
      <w:divBdr>
        <w:top w:val="none" w:sz="0" w:space="0" w:color="auto"/>
        <w:left w:val="none" w:sz="0" w:space="0" w:color="auto"/>
        <w:bottom w:val="none" w:sz="0" w:space="0" w:color="auto"/>
        <w:right w:val="none" w:sz="0" w:space="0" w:color="auto"/>
      </w:divBdr>
    </w:div>
    <w:div w:id="471026209">
      <w:bodyDiv w:val="1"/>
      <w:marLeft w:val="0"/>
      <w:marRight w:val="0"/>
      <w:marTop w:val="0"/>
      <w:marBottom w:val="0"/>
      <w:divBdr>
        <w:top w:val="none" w:sz="0" w:space="0" w:color="auto"/>
        <w:left w:val="none" w:sz="0" w:space="0" w:color="auto"/>
        <w:bottom w:val="none" w:sz="0" w:space="0" w:color="auto"/>
        <w:right w:val="none" w:sz="0" w:space="0" w:color="auto"/>
      </w:divBdr>
    </w:div>
    <w:div w:id="497622544">
      <w:bodyDiv w:val="1"/>
      <w:marLeft w:val="0"/>
      <w:marRight w:val="0"/>
      <w:marTop w:val="0"/>
      <w:marBottom w:val="0"/>
      <w:divBdr>
        <w:top w:val="none" w:sz="0" w:space="0" w:color="auto"/>
        <w:left w:val="none" w:sz="0" w:space="0" w:color="auto"/>
        <w:bottom w:val="none" w:sz="0" w:space="0" w:color="auto"/>
        <w:right w:val="none" w:sz="0" w:space="0" w:color="auto"/>
      </w:divBdr>
    </w:div>
    <w:div w:id="559173657">
      <w:bodyDiv w:val="1"/>
      <w:marLeft w:val="0"/>
      <w:marRight w:val="0"/>
      <w:marTop w:val="0"/>
      <w:marBottom w:val="0"/>
      <w:divBdr>
        <w:top w:val="none" w:sz="0" w:space="0" w:color="auto"/>
        <w:left w:val="none" w:sz="0" w:space="0" w:color="auto"/>
        <w:bottom w:val="none" w:sz="0" w:space="0" w:color="auto"/>
        <w:right w:val="none" w:sz="0" w:space="0" w:color="auto"/>
      </w:divBdr>
    </w:div>
    <w:div w:id="568661985">
      <w:bodyDiv w:val="1"/>
      <w:marLeft w:val="0"/>
      <w:marRight w:val="0"/>
      <w:marTop w:val="0"/>
      <w:marBottom w:val="0"/>
      <w:divBdr>
        <w:top w:val="none" w:sz="0" w:space="0" w:color="auto"/>
        <w:left w:val="none" w:sz="0" w:space="0" w:color="auto"/>
        <w:bottom w:val="none" w:sz="0" w:space="0" w:color="auto"/>
        <w:right w:val="none" w:sz="0" w:space="0" w:color="auto"/>
      </w:divBdr>
    </w:div>
    <w:div w:id="587538092">
      <w:bodyDiv w:val="1"/>
      <w:marLeft w:val="0"/>
      <w:marRight w:val="0"/>
      <w:marTop w:val="0"/>
      <w:marBottom w:val="0"/>
      <w:divBdr>
        <w:top w:val="none" w:sz="0" w:space="0" w:color="auto"/>
        <w:left w:val="none" w:sz="0" w:space="0" w:color="auto"/>
        <w:bottom w:val="none" w:sz="0" w:space="0" w:color="auto"/>
        <w:right w:val="none" w:sz="0" w:space="0" w:color="auto"/>
      </w:divBdr>
    </w:div>
    <w:div w:id="604381658">
      <w:bodyDiv w:val="1"/>
      <w:marLeft w:val="0"/>
      <w:marRight w:val="0"/>
      <w:marTop w:val="0"/>
      <w:marBottom w:val="0"/>
      <w:divBdr>
        <w:top w:val="none" w:sz="0" w:space="0" w:color="auto"/>
        <w:left w:val="none" w:sz="0" w:space="0" w:color="auto"/>
        <w:bottom w:val="none" w:sz="0" w:space="0" w:color="auto"/>
        <w:right w:val="none" w:sz="0" w:space="0" w:color="auto"/>
      </w:divBdr>
    </w:div>
    <w:div w:id="614561935">
      <w:bodyDiv w:val="1"/>
      <w:marLeft w:val="0"/>
      <w:marRight w:val="0"/>
      <w:marTop w:val="0"/>
      <w:marBottom w:val="0"/>
      <w:divBdr>
        <w:top w:val="none" w:sz="0" w:space="0" w:color="auto"/>
        <w:left w:val="none" w:sz="0" w:space="0" w:color="auto"/>
        <w:bottom w:val="none" w:sz="0" w:space="0" w:color="auto"/>
        <w:right w:val="none" w:sz="0" w:space="0" w:color="auto"/>
      </w:divBdr>
    </w:div>
    <w:div w:id="657461562">
      <w:bodyDiv w:val="1"/>
      <w:marLeft w:val="0"/>
      <w:marRight w:val="0"/>
      <w:marTop w:val="0"/>
      <w:marBottom w:val="0"/>
      <w:divBdr>
        <w:top w:val="none" w:sz="0" w:space="0" w:color="auto"/>
        <w:left w:val="none" w:sz="0" w:space="0" w:color="auto"/>
        <w:bottom w:val="none" w:sz="0" w:space="0" w:color="auto"/>
        <w:right w:val="none" w:sz="0" w:space="0" w:color="auto"/>
      </w:divBdr>
    </w:div>
    <w:div w:id="759177116">
      <w:bodyDiv w:val="1"/>
      <w:marLeft w:val="0"/>
      <w:marRight w:val="0"/>
      <w:marTop w:val="0"/>
      <w:marBottom w:val="0"/>
      <w:divBdr>
        <w:top w:val="none" w:sz="0" w:space="0" w:color="auto"/>
        <w:left w:val="none" w:sz="0" w:space="0" w:color="auto"/>
        <w:bottom w:val="none" w:sz="0" w:space="0" w:color="auto"/>
        <w:right w:val="none" w:sz="0" w:space="0" w:color="auto"/>
      </w:divBdr>
    </w:div>
    <w:div w:id="773210868">
      <w:bodyDiv w:val="1"/>
      <w:marLeft w:val="0"/>
      <w:marRight w:val="0"/>
      <w:marTop w:val="0"/>
      <w:marBottom w:val="0"/>
      <w:divBdr>
        <w:top w:val="none" w:sz="0" w:space="0" w:color="auto"/>
        <w:left w:val="none" w:sz="0" w:space="0" w:color="auto"/>
        <w:bottom w:val="none" w:sz="0" w:space="0" w:color="auto"/>
        <w:right w:val="none" w:sz="0" w:space="0" w:color="auto"/>
      </w:divBdr>
    </w:div>
    <w:div w:id="805777363">
      <w:bodyDiv w:val="1"/>
      <w:marLeft w:val="0"/>
      <w:marRight w:val="0"/>
      <w:marTop w:val="0"/>
      <w:marBottom w:val="0"/>
      <w:divBdr>
        <w:top w:val="none" w:sz="0" w:space="0" w:color="auto"/>
        <w:left w:val="none" w:sz="0" w:space="0" w:color="auto"/>
        <w:bottom w:val="none" w:sz="0" w:space="0" w:color="auto"/>
        <w:right w:val="none" w:sz="0" w:space="0" w:color="auto"/>
      </w:divBdr>
    </w:div>
    <w:div w:id="807086050">
      <w:bodyDiv w:val="1"/>
      <w:marLeft w:val="0"/>
      <w:marRight w:val="0"/>
      <w:marTop w:val="0"/>
      <w:marBottom w:val="0"/>
      <w:divBdr>
        <w:top w:val="none" w:sz="0" w:space="0" w:color="auto"/>
        <w:left w:val="none" w:sz="0" w:space="0" w:color="auto"/>
        <w:bottom w:val="none" w:sz="0" w:space="0" w:color="auto"/>
        <w:right w:val="none" w:sz="0" w:space="0" w:color="auto"/>
      </w:divBdr>
    </w:div>
    <w:div w:id="818959733">
      <w:bodyDiv w:val="1"/>
      <w:marLeft w:val="0"/>
      <w:marRight w:val="0"/>
      <w:marTop w:val="0"/>
      <w:marBottom w:val="0"/>
      <w:divBdr>
        <w:top w:val="none" w:sz="0" w:space="0" w:color="auto"/>
        <w:left w:val="none" w:sz="0" w:space="0" w:color="auto"/>
        <w:bottom w:val="none" w:sz="0" w:space="0" w:color="auto"/>
        <w:right w:val="none" w:sz="0" w:space="0" w:color="auto"/>
      </w:divBdr>
    </w:div>
    <w:div w:id="887574895">
      <w:bodyDiv w:val="1"/>
      <w:marLeft w:val="0"/>
      <w:marRight w:val="0"/>
      <w:marTop w:val="0"/>
      <w:marBottom w:val="0"/>
      <w:divBdr>
        <w:top w:val="none" w:sz="0" w:space="0" w:color="auto"/>
        <w:left w:val="none" w:sz="0" w:space="0" w:color="auto"/>
        <w:bottom w:val="none" w:sz="0" w:space="0" w:color="auto"/>
        <w:right w:val="none" w:sz="0" w:space="0" w:color="auto"/>
      </w:divBdr>
    </w:div>
    <w:div w:id="935601093">
      <w:bodyDiv w:val="1"/>
      <w:marLeft w:val="0"/>
      <w:marRight w:val="0"/>
      <w:marTop w:val="0"/>
      <w:marBottom w:val="0"/>
      <w:divBdr>
        <w:top w:val="none" w:sz="0" w:space="0" w:color="auto"/>
        <w:left w:val="none" w:sz="0" w:space="0" w:color="auto"/>
        <w:bottom w:val="none" w:sz="0" w:space="0" w:color="auto"/>
        <w:right w:val="none" w:sz="0" w:space="0" w:color="auto"/>
      </w:divBdr>
      <w:divsChild>
        <w:div w:id="1222516374">
          <w:blockQuote w:val="1"/>
          <w:marLeft w:val="720"/>
          <w:marRight w:val="720"/>
          <w:marTop w:val="100"/>
          <w:marBottom w:val="100"/>
          <w:divBdr>
            <w:top w:val="none" w:sz="0" w:space="0" w:color="auto"/>
            <w:left w:val="none" w:sz="0" w:space="0" w:color="auto"/>
            <w:bottom w:val="none" w:sz="0" w:space="0" w:color="auto"/>
            <w:right w:val="none" w:sz="0" w:space="0" w:color="auto"/>
          </w:divBdr>
        </w:div>
        <w:div w:id="54666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45690533">
          <w:blockQuote w:val="1"/>
          <w:marLeft w:val="720"/>
          <w:marRight w:val="720"/>
          <w:marTop w:val="100"/>
          <w:marBottom w:val="100"/>
          <w:divBdr>
            <w:top w:val="none" w:sz="0" w:space="0" w:color="auto"/>
            <w:left w:val="none" w:sz="0" w:space="0" w:color="auto"/>
            <w:bottom w:val="none" w:sz="0" w:space="0" w:color="auto"/>
            <w:right w:val="none" w:sz="0" w:space="0" w:color="auto"/>
          </w:divBdr>
        </w:div>
        <w:div w:id="2107072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0501065">
      <w:bodyDiv w:val="1"/>
      <w:marLeft w:val="0"/>
      <w:marRight w:val="0"/>
      <w:marTop w:val="0"/>
      <w:marBottom w:val="0"/>
      <w:divBdr>
        <w:top w:val="none" w:sz="0" w:space="0" w:color="auto"/>
        <w:left w:val="none" w:sz="0" w:space="0" w:color="auto"/>
        <w:bottom w:val="none" w:sz="0" w:space="0" w:color="auto"/>
        <w:right w:val="none" w:sz="0" w:space="0" w:color="auto"/>
      </w:divBdr>
    </w:div>
    <w:div w:id="987324989">
      <w:bodyDiv w:val="1"/>
      <w:marLeft w:val="0"/>
      <w:marRight w:val="0"/>
      <w:marTop w:val="0"/>
      <w:marBottom w:val="0"/>
      <w:divBdr>
        <w:top w:val="none" w:sz="0" w:space="0" w:color="auto"/>
        <w:left w:val="none" w:sz="0" w:space="0" w:color="auto"/>
        <w:bottom w:val="none" w:sz="0" w:space="0" w:color="auto"/>
        <w:right w:val="none" w:sz="0" w:space="0" w:color="auto"/>
      </w:divBdr>
    </w:div>
    <w:div w:id="1179343787">
      <w:bodyDiv w:val="1"/>
      <w:marLeft w:val="0"/>
      <w:marRight w:val="0"/>
      <w:marTop w:val="0"/>
      <w:marBottom w:val="0"/>
      <w:divBdr>
        <w:top w:val="none" w:sz="0" w:space="0" w:color="auto"/>
        <w:left w:val="none" w:sz="0" w:space="0" w:color="auto"/>
        <w:bottom w:val="none" w:sz="0" w:space="0" w:color="auto"/>
        <w:right w:val="none" w:sz="0" w:space="0" w:color="auto"/>
      </w:divBdr>
    </w:div>
    <w:div w:id="1296761933">
      <w:bodyDiv w:val="1"/>
      <w:marLeft w:val="0"/>
      <w:marRight w:val="0"/>
      <w:marTop w:val="0"/>
      <w:marBottom w:val="0"/>
      <w:divBdr>
        <w:top w:val="none" w:sz="0" w:space="0" w:color="auto"/>
        <w:left w:val="none" w:sz="0" w:space="0" w:color="auto"/>
        <w:bottom w:val="none" w:sz="0" w:space="0" w:color="auto"/>
        <w:right w:val="none" w:sz="0" w:space="0" w:color="auto"/>
      </w:divBdr>
    </w:div>
    <w:div w:id="1300527010">
      <w:bodyDiv w:val="1"/>
      <w:marLeft w:val="0"/>
      <w:marRight w:val="0"/>
      <w:marTop w:val="0"/>
      <w:marBottom w:val="0"/>
      <w:divBdr>
        <w:top w:val="none" w:sz="0" w:space="0" w:color="auto"/>
        <w:left w:val="none" w:sz="0" w:space="0" w:color="auto"/>
        <w:bottom w:val="none" w:sz="0" w:space="0" w:color="auto"/>
        <w:right w:val="none" w:sz="0" w:space="0" w:color="auto"/>
      </w:divBdr>
    </w:div>
    <w:div w:id="1371690819">
      <w:bodyDiv w:val="1"/>
      <w:marLeft w:val="0"/>
      <w:marRight w:val="0"/>
      <w:marTop w:val="0"/>
      <w:marBottom w:val="0"/>
      <w:divBdr>
        <w:top w:val="none" w:sz="0" w:space="0" w:color="auto"/>
        <w:left w:val="none" w:sz="0" w:space="0" w:color="auto"/>
        <w:bottom w:val="none" w:sz="0" w:space="0" w:color="auto"/>
        <w:right w:val="none" w:sz="0" w:space="0" w:color="auto"/>
      </w:divBdr>
    </w:div>
    <w:div w:id="1378974507">
      <w:bodyDiv w:val="1"/>
      <w:marLeft w:val="0"/>
      <w:marRight w:val="0"/>
      <w:marTop w:val="0"/>
      <w:marBottom w:val="0"/>
      <w:divBdr>
        <w:top w:val="none" w:sz="0" w:space="0" w:color="auto"/>
        <w:left w:val="none" w:sz="0" w:space="0" w:color="auto"/>
        <w:bottom w:val="none" w:sz="0" w:space="0" w:color="auto"/>
        <w:right w:val="none" w:sz="0" w:space="0" w:color="auto"/>
      </w:divBdr>
    </w:div>
    <w:div w:id="1581646093">
      <w:bodyDiv w:val="1"/>
      <w:marLeft w:val="0"/>
      <w:marRight w:val="0"/>
      <w:marTop w:val="0"/>
      <w:marBottom w:val="0"/>
      <w:divBdr>
        <w:top w:val="none" w:sz="0" w:space="0" w:color="auto"/>
        <w:left w:val="none" w:sz="0" w:space="0" w:color="auto"/>
        <w:bottom w:val="none" w:sz="0" w:space="0" w:color="auto"/>
        <w:right w:val="none" w:sz="0" w:space="0" w:color="auto"/>
      </w:divBdr>
    </w:div>
    <w:div w:id="1589147040">
      <w:bodyDiv w:val="1"/>
      <w:marLeft w:val="0"/>
      <w:marRight w:val="0"/>
      <w:marTop w:val="0"/>
      <w:marBottom w:val="0"/>
      <w:divBdr>
        <w:top w:val="none" w:sz="0" w:space="0" w:color="auto"/>
        <w:left w:val="none" w:sz="0" w:space="0" w:color="auto"/>
        <w:bottom w:val="none" w:sz="0" w:space="0" w:color="auto"/>
        <w:right w:val="none" w:sz="0" w:space="0" w:color="auto"/>
      </w:divBdr>
    </w:div>
    <w:div w:id="1610770830">
      <w:bodyDiv w:val="1"/>
      <w:marLeft w:val="0"/>
      <w:marRight w:val="0"/>
      <w:marTop w:val="0"/>
      <w:marBottom w:val="0"/>
      <w:divBdr>
        <w:top w:val="none" w:sz="0" w:space="0" w:color="auto"/>
        <w:left w:val="none" w:sz="0" w:space="0" w:color="auto"/>
        <w:bottom w:val="none" w:sz="0" w:space="0" w:color="auto"/>
        <w:right w:val="none" w:sz="0" w:space="0" w:color="auto"/>
      </w:divBdr>
    </w:div>
    <w:div w:id="1824078343">
      <w:bodyDiv w:val="1"/>
      <w:marLeft w:val="0"/>
      <w:marRight w:val="0"/>
      <w:marTop w:val="0"/>
      <w:marBottom w:val="0"/>
      <w:divBdr>
        <w:top w:val="none" w:sz="0" w:space="0" w:color="auto"/>
        <w:left w:val="none" w:sz="0" w:space="0" w:color="auto"/>
        <w:bottom w:val="none" w:sz="0" w:space="0" w:color="auto"/>
        <w:right w:val="none" w:sz="0" w:space="0" w:color="auto"/>
      </w:divBdr>
    </w:div>
    <w:div w:id="1897623762">
      <w:bodyDiv w:val="1"/>
      <w:marLeft w:val="0"/>
      <w:marRight w:val="0"/>
      <w:marTop w:val="0"/>
      <w:marBottom w:val="0"/>
      <w:divBdr>
        <w:top w:val="none" w:sz="0" w:space="0" w:color="auto"/>
        <w:left w:val="none" w:sz="0" w:space="0" w:color="auto"/>
        <w:bottom w:val="none" w:sz="0" w:space="0" w:color="auto"/>
        <w:right w:val="none" w:sz="0" w:space="0" w:color="auto"/>
      </w:divBdr>
    </w:div>
    <w:div w:id="1981883849">
      <w:bodyDiv w:val="1"/>
      <w:marLeft w:val="0"/>
      <w:marRight w:val="0"/>
      <w:marTop w:val="0"/>
      <w:marBottom w:val="0"/>
      <w:divBdr>
        <w:top w:val="none" w:sz="0" w:space="0" w:color="auto"/>
        <w:left w:val="none" w:sz="0" w:space="0" w:color="auto"/>
        <w:bottom w:val="none" w:sz="0" w:space="0" w:color="auto"/>
        <w:right w:val="none" w:sz="0" w:space="0" w:color="auto"/>
      </w:divBdr>
    </w:div>
    <w:div w:id="2045129877">
      <w:bodyDiv w:val="1"/>
      <w:marLeft w:val="0"/>
      <w:marRight w:val="0"/>
      <w:marTop w:val="0"/>
      <w:marBottom w:val="0"/>
      <w:divBdr>
        <w:top w:val="none" w:sz="0" w:space="0" w:color="auto"/>
        <w:left w:val="none" w:sz="0" w:space="0" w:color="auto"/>
        <w:bottom w:val="none" w:sz="0" w:space="0" w:color="auto"/>
        <w:right w:val="none" w:sz="0" w:space="0" w:color="auto"/>
      </w:divBdr>
    </w:div>
    <w:div w:id="2074160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5F1A6B-A6FA-4C91-8C01-BABEAEEB4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11</Pages>
  <Words>3939</Words>
  <Characters>21276</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Paulo</dc:creator>
  <cp:lastModifiedBy>Guilherme Artin</cp:lastModifiedBy>
  <cp:revision>9</cp:revision>
  <cp:lastPrinted>2026-07-23T19:23:00Z</cp:lastPrinted>
  <dcterms:created xsi:type="dcterms:W3CDTF">2026-06-19T00:15:00Z</dcterms:created>
  <dcterms:modified xsi:type="dcterms:W3CDTF">2026-07-23T19:27:00Z</dcterms:modified>
  <dc:description/>
  <dc:identifier/>
  <dc:language/>
  <dc:subject/>
</cp:coreProperties>
</file>