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RELATÓRIO DA SESSÃO E REGRAS PARA A SKILL DE CÁLCULO</w:t>
      </w:r>
    </w:p>
    <w:p>
      <w:pPr>
        <w:spacing w:after="40"/>
        <w:jc w:val="center"/>
      </w:pPr>
      <w:r>
        <w:rPr>
          <w:b w:val="0"/>
          <w:i w:val="0"/>
        </w:rPr>
        <w:t>Processo nº 0301612-15.2015.8.24.0038 (Residencial Trentino I x Marcelo Demezio Ceserio e outra)</w:t>
      </w:r>
    </w:p>
    <w:p>
      <w:pPr>
        <w:spacing w:after="40"/>
        <w:jc w:val="center"/>
      </w:pPr>
      <w:r>
        <w:rPr>
          <w:b w:val="0"/>
          <w:i/>
        </w:rPr>
        <w:t>Material para análise da skill de cálculo Ábacus, em fase experimental</w:t>
      </w:r>
    </w:p>
    <w:p>
      <w:pPr>
        <w:spacing w:after="280"/>
        <w:jc w:val="center"/>
      </w:pPr>
      <w:r>
        <w:rPr>
          <w:b w:val="0"/>
          <w:i w:val="0"/>
        </w:rPr>
        <w:t>Elaborado em 13 de outubro de 2026</w:t>
      </w:r>
    </w:p>
    <w:p>
      <w:pPr>
        <w:keepNext/>
        <w:spacing w:before="280"/>
      </w:pPr>
      <w:r>
        <w:rPr>
          <w:b/>
          <w:sz w:val="24"/>
        </w:rPr>
        <w:t>1. Objetivo</w:t>
      </w:r>
    </w:p>
    <w:p>
      <w:pPr>
        <w:jc w:val="both"/>
      </w:pPr>
      <w:r>
        <w:rPr>
          <w:b w:val="0"/>
          <w:i w:val="0"/>
        </w:rPr>
        <w:t>Este relatório reúne tudo o que foi tratado na elaboração da manifestação do exequente no processo do Residencial Trentino I, com destaque para as correções feitas pelo usuário, para o erro de índice que gerou a divergência com o cálculo manual do Ábacus e para as regras que a skill deve passar a seguir. Ele acompanha uma pasta com os dados do caso, as tabelas de conferência e um arquivo de regras em texto simples, para que a skill possa analisar o material.</w:t>
      </w:r>
    </w:p>
    <w:p>
      <w:pPr>
        <w:keepNext/>
        <w:spacing w:before="280"/>
      </w:pPr>
      <w:r>
        <w:rPr>
          <w:b/>
          <w:sz w:val="24"/>
        </w:rPr>
        <w:t>2. O pedido e o que foi entregue</w:t>
      </w:r>
    </w:p>
    <w:p>
      <w:pPr>
        <w:jc w:val="both"/>
      </w:pPr>
      <w:r>
        <w:rPr>
          <w:b w:val="0"/>
          <w:i w:val="0"/>
        </w:rPr>
        <w:t>Foi pedida uma petição simples, no modelo apresentado pelo usuário (caso Spazio Jardim de Genebra), para requerer a penhora do imóvel, a liberação do valor bloqueado no Sisbajud e a apresentação do cálculo atualizado. O usuário determinou que o bloqueio do Sisbajud não fosse abatido do débito, que se verificasse a existência de multa do art. 774 do CPC e que as vincendas entrassem no cálculo sem menção expressa na petição.</w:t>
      </w:r>
    </w:p>
    <w:p>
      <w:pPr>
        <w:jc w:val="both"/>
      </w:pPr>
      <w:r>
        <w:rPr>
          <w:b w:val="0"/>
          <w:i w:val="0"/>
        </w:rPr>
        <w:t>Foram usadas a skill de teses defensivas, para mapear os autos e gerar o Word sobre o modelo do escritório, e a skill de cálculo Ábacus. A petição está em Word e os cálculos em PDF. Por determinação do usuário, o valor do débito na petição será trocado manualmente por ele, e o valor correto é R$ 52.007,21 (cinquenta e dois mil e sete reais e vinte e um centavos).</w:t>
      </w:r>
    </w:p>
    <w:p>
      <w:pPr>
        <w:keepNext/>
        <w:spacing w:before="280"/>
      </w:pPr>
      <w:r>
        <w:rPr>
          <w:b/>
          <w:sz w:val="24"/>
        </w:rPr>
        <w:t>3. O que os autos mostraram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669"/>
        <w:gridCol w:w="1701"/>
      </w:tblGrid>
      <w:tr>
        <w:tc>
          <w:tcPr>
            <w:tcW w:type="dxa" w:w="170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Tema</w:t>
            </w:r>
          </w:p>
        </w:tc>
        <w:tc>
          <w:tcPr>
            <w:tcW w:type="dxa" w:w="5669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Achado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Onde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Penhora do imóvel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Nunca houve deliberação. O exequente apenas indicou o imóvel, de forma condicionada ao bloqueio online. A petição reitera o pedido.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Evento 115 (30/10/2018)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Multa processual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Não há multa do art. 774 do CPC nem por litigância. As menções ao art. 774 são advertências padrão dos mandados. Gratuidade não requerida.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Eventos 187 e 243; capa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Sisbajud 2026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Bloqueios de R$ 0,11 (Marcelo, PicPay) e R$ 36,91 (Veronice, Bradesco). Ordens de desbloqueio protocoladas em 18/09/2026, status "não enviada". O juízo considera irrisório valor inferior a 2% de dívida acima de R$ 10.000,00.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Eventos 315, 320 e 270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Sisbajud 2023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Dois bloqueios parciais na Caixa (R$ 710,62 e R$ 860,00, total R$ 1.570,62), transferidos à conta judicial. Não há decisão de liberação ou levantamento. Destino atual não confirmado.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Eventos 275, 280 e 281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Ato a responder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Intimação para demonstrativo atualizado e impulso, em 15 dias, publicada no DJEN em 23/09/2026. Prazo estimado em 15/10/2026, a confirmar no eproc.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Evento 321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Matrícula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Matrícula nº 34.724 (certidão de 2014) registra alienação fiduciária em favor do FAR, representado pela Caixa. A petição traz parágrafo opcional pedindo a intimação do credor fiduciário (art. 799, I, CPC).</w:t>
            </w:r>
          </w:p>
        </w:tc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Evento 1 (INF9)</w:t>
            </w:r>
          </w:p>
        </w:tc>
      </w:tr>
    </w:tbl>
    <w:p>
      <w:pPr>
        <w:spacing w:after="80"/>
      </w:pPr>
    </w:p>
    <w:p>
      <w:pPr>
        <w:keepNext/>
        <w:spacing w:before="280"/>
      </w:pPr>
      <w:r>
        <w:rPr>
          <w:b/>
          <w:sz w:val="24"/>
        </w:rPr>
        <w:t>4. A ação civil pública e o cálculo do Trentino</w:t>
      </w:r>
    </w:p>
    <w:p>
      <w:pPr>
        <w:jc w:val="both"/>
      </w:pPr>
      <w:r>
        <w:rPr>
          <w:b w:val="0"/>
          <w:i w:val="0"/>
        </w:rPr>
        <w:t>A decisão da Ação Civil Pública nº 5033243-81.2023.8.24.0038, da 1ª Vara da Fazenda Pública de Joinville (tutela de urgência de 25/08/2023, evento 291), mandou os réus se absterem de cobrar taxa administrativa, serviços de cobrança, honorários advocatícios extrajudiciais e nova multa além da cláusula penal da convenção, e determinou a suspensão das execuções até a adequação do cálculo. As convenções dos condomínios Trentino I e II (arts. 45 e 46) preveem atualização pela TR, juros de 1% ao mês e multa de 2%.</w:t>
      </w:r>
    </w:p>
    <w:p>
      <w:pPr>
        <w:jc w:val="both"/>
      </w:pPr>
      <w:r>
        <w:rPr>
          <w:b w:val="0"/>
          <w:i w:val="0"/>
        </w:rPr>
        <w:t>No processo, o juízo suspendeu o feito até que o exequente adequasse o cálculo (evento 293, 08/01/2024). A baixa da ação civil pública foi comunicada no evento 302 (02/07/2026) e o exequente apresentou cálculo adequado no evento 313 (R$ 42.283,17, com parcelas só até 07/2023).</w:t>
      </w:r>
    </w:p>
    <w:p>
      <w:pPr>
        <w:jc w:val="both"/>
      </w:pPr>
      <w:r>
        <w:rPr>
          <w:b w:val="0"/>
          <w:i w:val="0"/>
        </w:rPr>
        <w:t>A comparação entre a planilha da petição de aditamento (evento 115, 30/10/2018) e o CSV adequado enviado pelo usuário mostra que os valores das taxas mudaram em todas as 67 datas comparáveis (02/2013 a 10/2018). A razão entre o valor adequado e o da inicial foi de 0,9091 em 39 datas e de 0,8696 em 27 datas (uma data com 0,9092 por arredondamento), padrão que sugere a retirada de um adicional de 10% e de 15%, hipótese não confirmada nos autos. A tabela completa está na pasta (tabelas/04).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835"/>
        <w:gridCol w:w="1417"/>
      </w:tblGrid>
      <w:tr>
        <w:tc>
          <w:tcPr>
            <w:tcW w:type="dxa" w:w="170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Valor na planilha inicial (ev. 115)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Valor adequado à ACP (CSV do usuário)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Razão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10/02/2013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R$ 114,85</w:t>
            </w:r>
          </w:p>
        </w:tc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R$ 104,41</w:t>
            </w:r>
          </w:p>
        </w:tc>
        <w:tc>
          <w:tcPr>
            <w:tcW w:type="dxa" w:w="141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0,9091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10/02/2015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R$ 107,80</w:t>
            </w:r>
          </w:p>
        </w:tc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R$ 98,00</w:t>
            </w:r>
          </w:p>
        </w:tc>
        <w:tc>
          <w:tcPr>
            <w:tcW w:type="dxa" w:w="141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0,9091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10/08/2016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R$ 149,50</w:t>
            </w:r>
          </w:p>
        </w:tc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R$ 130,00</w:t>
            </w:r>
          </w:p>
        </w:tc>
        <w:tc>
          <w:tcPr>
            <w:tcW w:type="dxa" w:w="141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0,8696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10/07/2017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R$ 161,00</w:t>
            </w:r>
          </w:p>
        </w:tc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R$ 140,00</w:t>
            </w:r>
          </w:p>
        </w:tc>
        <w:tc>
          <w:tcPr>
            <w:tcW w:type="dxa" w:w="141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0,8696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10/10/2018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R$ 161,00</w:t>
            </w:r>
          </w:p>
        </w:tc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R$ 140,00</w:t>
            </w:r>
          </w:p>
        </w:tc>
        <w:tc>
          <w:tcPr>
            <w:tcW w:type="dxa" w:w="141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0,8696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  <w:i w:val="0"/>
        </w:rPr>
        <w:t>O usuário informou que o Condomínio Dante Minel também tem ação civil pública com o mesmo efeito sobre as taxas, e que a diferença de valores vale, se não houver engano, para as taxas anteriores a 2023. Essas duas informações vieram do usuário e não foram verificadas nos autos desta sessão.</w:t>
      </w:r>
    </w:p>
    <w:p>
      <w:pPr>
        <w:keepNext/>
        <w:spacing w:before="280"/>
      </w:pPr>
      <w:r>
        <w:rPr>
          <w:b/>
          <w:sz w:val="24"/>
        </w:rPr>
        <w:t>5. Cronologia dos cálculos e das correções do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608"/>
        <w:gridCol w:w="1814"/>
        <w:gridCol w:w="1361"/>
        <w:gridCol w:w="1587"/>
        <w:gridCol w:w="1247"/>
      </w:tblGrid>
      <w:tr>
        <w:tc>
          <w:tcPr>
            <w:tcW w:type="dxa" w:w="1020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Versão</w:t>
            </w:r>
          </w:p>
        </w:tc>
        <w:tc>
          <w:tcPr>
            <w:tcW w:type="dxa" w:w="2608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O que foi feito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Taxas</w:t>
            </w:r>
          </w:p>
        </w:tc>
        <w:tc>
          <w:tcPr>
            <w:tcW w:type="dxa" w:w="136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Custas</w:t>
            </w:r>
          </w:p>
        </w:tc>
        <w:tc>
          <w:tcPr>
            <w:tcW w:type="dxa" w:w="1587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Último mês de TR usado</w:t>
            </w:r>
          </w:p>
        </w:tc>
        <w:tc>
          <w:tcPr>
            <w:tcW w:type="dxa" w:w="1247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TR para tudo, vincendas em PDF separado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R$ 48.219,26 (mais vincendas R$ 2.683,83)</w:t>
            </w:r>
          </w:p>
        </w:tc>
        <w:tc>
          <w:tcPr>
            <w:tcW w:type="dxa" w:w="136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R$ 736,74 (TR)</w:t>
            </w:r>
          </w:p>
        </w:tc>
        <w:tc>
          <w:tcPr>
            <w:tcW w:type="dxa" w:w="158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09/2026, limitado por mim, sem aviso</w:t>
            </w:r>
          </w:p>
        </w:tc>
        <w:tc>
          <w:tcPr>
            <w:tcW w:type="dxa" w:w="124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R$ 51.639,83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Correção do usuário: sem levantamento nem abatimento, vincendas no mesmo cálculo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R$ 50.903,09</w:t>
            </w:r>
          </w:p>
        </w:tc>
        <w:tc>
          <w:tcPr>
            <w:tcW w:type="dxa" w:w="136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R$ 736,74 (TR)</w:t>
            </w:r>
          </w:p>
        </w:tc>
        <w:tc>
          <w:tcPr>
            <w:tcW w:type="dxa" w:w="158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09/2026, sem aviso</w:t>
            </w:r>
          </w:p>
        </w:tc>
        <w:tc>
          <w:tcPr>
            <w:tcW w:type="dxa" w:w="124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R$ 51.639,83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Correção do usuário: custas pelo TJSC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R$ 50.903,09</w:t>
            </w:r>
          </w:p>
        </w:tc>
        <w:tc>
          <w:tcPr>
            <w:tcW w:type="dxa" w:w="136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R$ 1.069,60 (TJSC)</w:t>
            </w:r>
          </w:p>
        </w:tc>
        <w:tc>
          <w:tcPr>
            <w:tcW w:type="dxa" w:w="158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09/2026, sem aviso</w:t>
            </w:r>
          </w:p>
        </w:tc>
        <w:tc>
          <w:tcPr>
            <w:tcW w:type="dxa" w:w="124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R$ 51.972,69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4 (vigente)</w:t>
            </w:r>
          </w:p>
        </w:tc>
        <w:tc>
          <w:tcPr>
            <w:tcW w:type="dxa" w:w="260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TR até o último mês disponível, igual ao Ábacus do usuário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R$ 50.937,61</w:t>
            </w:r>
          </w:p>
        </w:tc>
        <w:tc>
          <w:tcPr>
            <w:tcW w:type="dxa" w:w="136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R$ 1.069,60 (TJSC)</w:t>
            </w:r>
          </w:p>
        </w:tc>
        <w:tc>
          <w:tcPr>
            <w:tcW w:type="dxa" w:w="158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10/2026</w:t>
            </w:r>
          </w:p>
        </w:tc>
        <w:tc>
          <w:tcPr>
            <w:tcW w:type="dxa" w:w="1247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R$ 52.007,21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  <w:i w:val="0"/>
        </w:rPr>
        <w:t>Antes das correções, o motor foi validado reproduzindo o cálculo do evento 313. Com a TR limitada a 06/2026, que era o último mês da tabela do Ábacus usada em 29/07/2026, o resultado saiu idêntico ao dos autos, ao centavo (taxas R$ 41.550,18, custas R$ 732,99, total R$ 42.283,17). O evento 313 corrigiu as custas pela TR, o que o usuário esclareceu não ser o padrão. A tabela está na pasta (tabelas/03).</w:t>
      </w:r>
    </w:p>
    <w:p>
      <w:pPr>
        <w:keepNext/>
        <w:spacing w:before="280"/>
      </w:pPr>
      <w:r>
        <w:rPr>
          <w:b/>
          <w:sz w:val="24"/>
        </w:rPr>
        <w:t>6. A divergência com o cálculo manual do Ábacus</w:t>
      </w:r>
    </w:p>
    <w:p>
      <w:pPr>
        <w:jc w:val="both"/>
      </w:pPr>
      <w:r>
        <w:rPr>
          <w:b w:val="0"/>
          <w:i w:val="0"/>
        </w:rPr>
        <w:t>O usuário enviou o cálculo que fez no Ábacus (R$ 50.937,61) para comparar com o da skill (R$ 50.903,09), diferença de R$ 34,52. A comparação linha a linha das 145 parcelas mostrou que a causa era uma só: o Ábacus aplicou a TR de outubro de 2026, pro rata de 13/31 dias, e a skill havia sido configurada por mim para parar em setembro.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154"/>
        <w:gridCol w:w="2551"/>
        <w:gridCol w:w="1531"/>
      </w:tblGrid>
      <w:tr>
        <w:tc>
          <w:tcPr>
            <w:tcW w:type="dxa" w:w="2835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Skill (TR até 09/2026)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Ábacus do usuário (TR até 10/2026)</w:t>
            </w:r>
          </w:p>
        </w:tc>
        <w:tc>
          <w:tcPr>
            <w:tcW w:type="dxa" w:w="153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Diferença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Correção da parcela de 02/2013</w:t>
            </w:r>
          </w:p>
        </w:tc>
        <w:tc>
          <w:tcPr>
            <w:tcW w:type="dxa" w:w="215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13,967520%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14,044753%</w:t>
            </w:r>
          </w:p>
        </w:tc>
        <w:tc>
          <w:tcPr>
            <w:tcW w:type="dxa" w:w="153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0,077233 pontos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Total corrigido</w:t>
            </w:r>
          </w:p>
        </w:tc>
        <w:tc>
          <w:tcPr>
            <w:tcW w:type="dxa" w:w="215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R$ 26.035,88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R$ 26.053,52</w:t>
            </w:r>
          </w:p>
        </w:tc>
        <w:tc>
          <w:tcPr>
            <w:tcW w:type="dxa" w:w="153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R$ 17,64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Juros</w:t>
            </w:r>
          </w:p>
        </w:tc>
        <w:tc>
          <w:tcPr>
            <w:tcW w:type="dxa" w:w="215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R$ 19.332,24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R$ 19.345,39</w:t>
            </w:r>
          </w:p>
        </w:tc>
        <w:tc>
          <w:tcPr>
            <w:tcW w:type="dxa" w:w="153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R$ 13,15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Multa de 2%</w:t>
            </w:r>
          </w:p>
        </w:tc>
        <w:tc>
          <w:tcPr>
            <w:tcW w:type="dxa" w:w="215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R$ 907,46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R$ 907,94</w:t>
            </w:r>
          </w:p>
        </w:tc>
        <w:tc>
          <w:tcPr>
            <w:tcW w:type="dxa" w:w="153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R$ 0,48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Honorários de 10%</w:t>
            </w:r>
          </w:p>
        </w:tc>
        <w:tc>
          <w:tcPr>
            <w:tcW w:type="dxa" w:w="215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R$ 4.627,51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R$ 4.630,76</w:t>
            </w:r>
          </w:p>
        </w:tc>
        <w:tc>
          <w:tcPr>
            <w:tcW w:type="dxa" w:w="153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R$ 3,25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Total</w:t>
            </w:r>
          </w:p>
        </w:tc>
        <w:tc>
          <w:tcPr>
            <w:tcW w:type="dxa" w:w="215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R$ 50.903,09</w:t>
            </w:r>
          </w:p>
        </w:tc>
        <w:tc>
          <w:tcPr>
            <w:tcW w:type="dxa" w:w="255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R$ 50.937,61</w:t>
            </w:r>
          </w:p>
        </w:tc>
        <w:tc>
          <w:tcPr>
            <w:tcW w:type="dxa" w:w="153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R$ 34,52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  <w:i w:val="0"/>
        </w:rPr>
        <w:t>Refeito o cálculo com a TR até 10/2026, as 145 parcelas e todos os totais passaram a coincidir com o Ábacus do usuário, sem nenhuma diferença. O resultado linha a linha está na pasta (tabelas/01).</w:t>
      </w:r>
    </w:p>
    <w:p>
      <w:pPr>
        <w:keepNext/>
        <w:spacing w:before="280"/>
      </w:pPr>
      <w:r>
        <w:rPr>
          <w:b/>
          <w:sz w:val="24"/>
        </w:rPr>
        <w:t>7. O erro grave: índice limitado sem aviso</w:t>
      </w:r>
    </w:p>
    <w:p>
      <w:pPr>
        <w:jc w:val="both"/>
      </w:pPr>
      <w:r>
        <w:rPr>
          <w:b w:val="0"/>
          <w:i w:val="0"/>
        </w:rPr>
        <w:t>O erro não foi do motor de cálculo. Eu limitei o índice a setembro de 2026 por conta própria, seguindo uma sugestão da skill para "igualar" o Ábacus, embora a tabela da skill já tivesse a TR de outubro. O PDF gerado não trouxe nenhuma observação sobre o mês de índice aplicado, porque a regra atual da skill só imprime a observação de índice desatualizado quando falta o índice do mês anterior ao da data final, e naquele caso o de setembro existia. Por isso o cálculo ficou desatualizado em um mês sem que isso aparecesse em lugar algum do documento.</w:t>
      </w:r>
    </w:p>
    <w:p>
      <w:pPr>
        <w:jc w:val="both"/>
      </w:pPr>
      <w:r>
        <w:rPr>
          <w:b w:val="0"/>
          <w:i w:val="0"/>
        </w:rPr>
        <w:t>A skill também havia emitido, no terminal, a linha "último mês de índice usado: 09/2026", mas eu não repassei essa informação ao usuário nas respostas, o que tornou o problema invisível. O usuário assinalou que o Ábacus costuma indicar esse dado e que a omissão é um erro gravíssimo. A regra 6 abaixo trata do ponto.</w:t>
      </w:r>
    </w:p>
    <w:p>
      <w:pPr>
        <w:keepNext/>
        <w:spacing w:before="280"/>
      </w:pPr>
      <w:r>
        <w:rPr>
          <w:b/>
          <w:sz w:val="24"/>
        </w:rPr>
        <w:t>8. Regras que a skill de cálculo deve passar a seguir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762"/>
      </w:tblGrid>
      <w:tr>
        <w:tc>
          <w:tcPr>
            <w:tcW w:type="dxa" w:w="1928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Regra</w:t>
            </w:r>
          </w:p>
        </w:tc>
        <w:tc>
          <w:tcPr>
            <w:tcW w:type="dxa" w:w="2494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Comportamento anterior</w:t>
            </w:r>
          </w:p>
        </w:tc>
        <w:tc>
          <w:tcPr>
            <w:tcW w:type="dxa" w:w="4762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Comportamento exigido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1. Índice mais atualizado</w:t>
            </w:r>
          </w:p>
        </w:tc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Sugeria limitar o índice a um mês antes da data do cálculo para igualar o Ábacus.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Usar sempre o último mês disponível nas tabelas, inclusive o do mês da data final. Limitar o índice só para reproduzir cálculo antigo dos autos, e dizendo isso expressamente.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2. Índice por componente</w:t>
            </w:r>
          </w:p>
        </w:tc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Um único índice por especificação.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Trentino: taxas pela TR (convenção e ACP); custas pelo TJSC, salvo deliberação diversa no processo, que se deve procurar nos autos. A skill precisa aceitar índice próprio para as custas.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3. Vincendas</w:t>
            </w:r>
          </w:p>
        </w:tc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Sempre em cálculo separado.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No mesmo cálculo das taxas enquanto não houver levantamento nem recebimento a abater. Só separar quando existir levantamento ou abatimento. Custas continuam em cálculo próprio.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4. ACP do Trentino e do Dante Minel</w:t>
            </w:r>
          </w:p>
        </w:tc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Não havia verificação.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Antes de calcular, identificar o condomínio e conferir se as taxas recebidas são iguais às da inicial. Se forem iguais, NÃO calcular e emitir alerta expresso, perguntando se deve continuar. Verificar também se há decisão condicionando o andamento à adequação e se a ACP foi baixada.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5. Conferência com o Ábacus</w:t>
            </w:r>
          </w:p>
        </w:tc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Pedia ao usuário que rodasse o Ábacus.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Entregar o total decomposto (taxas, custas, total) e, se o usuário trouxer cálculo manual, comparar linha a linha, verificando primeiro o último mês de índice.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6. Transparência do mês de índice</w:t>
            </w:r>
          </w:p>
        </w:tc>
        <w:tc>
          <w:tcPr>
            <w:tcW w:type="dxa" w:w="249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Observação no PDF só se faltasse o índice do mês anterior ao da data final.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Declarar, no PDF e na resposta ao usuário, até qual mês cada índice foi aplicado. Se o último mês aplicado for anterior ao mês da data final, mesmo que por um só mês, imprimir observação expressa no PDF e destacar o fato na resposta, em primeiro plano.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 w:val="0"/>
          <w:i w:val="0"/>
        </w:rPr>
        <w:t>A regra 4 depende de informações do usuário, que ressalvou a faixa de datas afetada (taxas anteriores a 2023, "se não me engano") e acrescentou o Dante Minel, não verificado nos autos. Ambas devem ser confirmadas em cada caso. O texto das regras em formato simples está em regras_propostas_para_a_skill.md, na pasta.</w:t>
      </w:r>
    </w:p>
    <w:p>
      <w:pPr>
        <w:keepNext/>
        <w:spacing w:before="280"/>
      </w:pPr>
      <w:r>
        <w:rPr>
          <w:b/>
          <w:sz w:val="24"/>
        </w:rPr>
        <w:t>9. Pendências e pontos de atenção deste caso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89"/>
        <w:gridCol w:w="1814"/>
      </w:tblGrid>
      <w:tr>
        <w:tc>
          <w:tcPr>
            <w:tcW w:type="dxa" w:w="2381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989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after="40"/>
              <w:jc w:val="left"/>
            </w:pPr>
            <w:r/>
            <w:r>
              <w:rPr>
                <w:b/>
                <w:sz w:val="19"/>
              </w:rPr>
              <w:t>Decisão de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Valor da petição</w:t>
            </w:r>
          </w:p>
        </w:tc>
        <w:tc>
          <w:tcPr>
            <w:tcW w:type="dxa" w:w="498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Word ainda com R$ 51.639,83. Trocar para R$ 52.007,21.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Usuário (manual)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Vincendas de 04/2026 a 10/2026</w:t>
            </w:r>
          </w:p>
        </w:tc>
        <w:tc>
          <w:tcPr>
            <w:tcW w:type="dxa" w:w="498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O CSV enviado termina em 03/2026. Se estiverem em aberto, refazer cálculo e petição.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Usuário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Custas</w:t>
            </w:r>
          </w:p>
        </w:tc>
        <w:tc>
          <w:tcPr>
            <w:tcW w:type="dxa" w:w="498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Lista aproveitada do evento 313 (o usuário não enviou planilha), recalculada pelo TJSC. A tabela do TJSC só vai até 09/2026.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Usuário confirma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Sisbajud de 2023 (R$ 1.570,62)</w:t>
            </w:r>
          </w:p>
        </w:tc>
        <w:tc>
          <w:tcPr>
            <w:tcW w:type="dxa" w:w="498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Fora da liberação pedida e não abatido. Destino na conta judicial não confirmado.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Usuário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Parágrafo sobre alienação fiduciária</w:t>
            </w:r>
          </w:p>
        </w:tc>
        <w:tc>
          <w:tcPr>
            <w:tcW w:type="dxa" w:w="498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Opcional. Recomenda-se matrícula atualizada para a penhora.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Usuário</w:t>
            </w:r>
          </w:p>
        </w:tc>
      </w:tr>
      <w:tr>
        <w:tc>
          <w:tcPr>
            <w:tcW w:type="dxa" w:w="2381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Prazo do evento 321</w:t>
            </w:r>
          </w:p>
        </w:tc>
        <w:tc>
          <w:tcPr>
            <w:tcW w:type="dxa" w:w="4989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Estimado em 15/10/2026. Confirmar no eproc.</w:t>
            </w:r>
          </w:p>
        </w:tc>
        <w:tc>
          <w:tcPr>
            <w:tcW w:type="dxa" w:w="1814"/>
          </w:tcPr>
          <w:p>
            <w:pPr>
              <w:spacing w:after="40"/>
              <w:jc w:val="left"/>
            </w:pPr>
            <w:r/>
            <w:r>
              <w:rPr>
                <w:sz w:val="19"/>
              </w:rPr>
              <w:t>Usuário</w:t>
            </w:r>
          </w:p>
        </w:tc>
      </w:tr>
    </w:tbl>
    <w:p>
      <w:pPr>
        <w:spacing w:after="80"/>
      </w:pPr>
    </w:p>
    <w:p>
      <w:pPr>
        <w:keepNext/>
        <w:spacing w:before="280"/>
      </w:pPr>
      <w:r>
        <w:rPr>
          <w:b/>
          <w:sz w:val="24"/>
        </w:rPr>
        <w:t>10. Observações técnicas sobre a skill</w:t>
      </w:r>
    </w:p>
    <w:p>
      <w:pPr>
        <w:jc w:val="both"/>
      </w:pPr>
      <w:r>
        <w:rPr>
          <w:b w:val="0"/>
          <w:i w:val="0"/>
        </w:rPr>
        <w:t>O ambiente não tinha as bibliotecas pymupdf e docxtpl, que precisaram ser instaladas durante a sessão; a skill deveria verificar as dependências ao iniciar. O aviso V6 do motor ("vincenda anterior ou igual ao último abatimento") aparece sem sentido quando não há abatimento e a data-base é a data final, e pode ser suprimido nesse caso. A validação do motor contra um cálculo dos autos mostrou-se um bom procedimento e vale mantê-la antes de cada cálculo novo.</w:t>
      </w:r>
    </w:p>
    <w:p>
      <w:pPr>
        <w:jc w:val="both"/>
      </w:pPr>
      <w:r>
        <w:rPr>
          <w:b w:val="0"/>
          <w:i/>
        </w:rPr>
        <w:t>Nota: as skills não foram alteradas nesta sessão. As regras acima são propostas para incorporação.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