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9F150" w14:textId="66E7DFAF" w:rsidR="0064403B" w:rsidRDefault="00B13E43" w:rsidP="00C07418">
      <w:pPr>
        <w:suppressAutoHyphens/>
        <w:jc w:val="both"/>
        <w:rPr>
          <w:rFonts w:ascii="Arial Narrow" w:hAnsi="Arial Narrow" w:eastAsia="Arial Narrow" w:cs="Arial"/>
          <w:b/>
          <w:bCs/>
        </w:rPr>
      </w:pPr>
      <w:r>
        <w:rPr>
          <w:rFonts w:ascii="Arial Narrow" w:hAnsi="Arial Narrow" w:eastAsia="Arial Narrow" w:cs="Arial"/>
          <w:b/>
          <w:bCs/>
          <w:sz w:val="24"/>
        </w:rPr>
        <w:t xml:space="preserve">EXCELENTÍSSIMO SENHOR DOUTOR JUIZ DE DIREITO DA _ª VARA CÍVEL DO FORO CENTRAL DA COMARCA DA REGIÃO METROPOLITANA DE CURITIBA, ESTADO DO PARANÁ</w:t>
      </w:r>
    </w:p>
    <w:p w14:paraId="3746A7F6" w14:textId="77777777" w:rsidR="008D5C67" w:rsidRPr="00B13E43" w:rsidRDefault="008D5C67" w:rsidP="00C07418">
      <w:pPr>
        <w:suppressAutoHyphens/>
        <w:jc w:val="both"/>
        <w:rPr>
          <w:rFonts w:ascii="Arial Narrow" w:hAnsi="Arial Narrow" w:eastAsia="Arial Narrow" w:cs="Arial"/>
          <w:b/>
          <w:bCs/>
        </w:rPr>
      </w:pPr>
    </w:p>
    <w:p w14:paraId="2B39F151" w14:textId="66E7DFAF" w:rsidR="0064403B" w:rsidRDefault="00B13E43" w:rsidP="00C07418">
      <w:pPr>
        <w:suppressAutoHyphens/>
        <w:jc w:val="both"/>
        <w:rPr>
          <w:rFonts w:ascii="Arial Narrow" w:hAnsi="Arial Narrow" w:eastAsia="Arial Narrow" w:cs="Arial"/>
          <w:b/>
          <w:bCs/>
        </w:rPr>
      </w:pPr>
      <w:r>
        <w:rPr>
          <w:rFonts w:ascii="Arial Narrow" w:hAnsi="Arial Narrow" w:eastAsia="Arial Narrow" w:cs="Arial"/>
          <w:b/>
          <w:bCs/>
          <w:sz w:val="24"/>
        </w:rPr>
        <w:t xml:space="preserve">PRIORIDADE DE TRAMITAÇÃO: PARTE IDOSA (ART. 1.048, I, DO CPC)</w:t>
      </w:r>
    </w:p>
    <w:p w14:paraId="1A2B3C4D" w14:textId="77777777" w:rsidR="008D5C67" w:rsidRPr="00B13E43" w:rsidRDefault="008D5C67" w:rsidP="00C07418">
      <w:pPr>
        <w:suppressAutoHyphens/>
        <w:jc w:val="both"/>
        <w:rPr>
          <w:rFonts w:ascii="Arial Narrow" w:hAnsi="Arial Narrow" w:eastAsia="Arial Narrow" w:cs="Arial"/>
          <w:b/>
          <w:bCs/>
        </w:rPr>
      </w:pPr>
    </w:p>
    <w:p w14:paraId="6383A979" w14:textId="75E08D33" w:rsidR="008D5C67" w:rsidRPr="00DD38ED" w:rsidRDefault="00EA12C2" w:rsidP="008D5C67">
      <w:pPr>
        <w:pStyle w:val="PargrafodaLista"/>
        <w:widowControl w:val="0"/>
        <w:numPr>
          <w:ilvl w:val="0"/>
          <w:numId w:val="25"/>
        </w:numPr>
        <w:ind w:left="284"/>
        <w:jc w:val="both"/>
        <w:rPr>
          <w:rFonts w:ascii="Arial Narrow" w:hAnsi="Arial Narrow" w:eastAsia="Arial Narrow" w:cs="Arial"/>
          <w:sz w:val="24"/>
          <w:szCs w:val="24"/>
        </w:rPr>
      </w:pPr>
      <w:bookmarkStart w:id="0" w:name="_Hlk216012801"/>
      <w:r>
        <w:rPr>
          <w:rFonts w:ascii="Arial Narrow" w:hAnsi="Arial Narrow" w:eastAsia="Arial Narrow" w:cs="Arial"/>
          <w:b/>
          <w:bCs/>
          <w:sz w:val="24"/>
          <w:szCs w:val="24"/>
        </w:rPr>
        <w:t>NEUSA CORRÊA DOS SANTOS</w:t>
      </w:r>
      <w:r>
        <w:rPr>
          <w:rFonts w:ascii="Arial Narrow" w:hAnsi="Arial Narrow" w:eastAsia="Arial Narrow" w:cs="Arial"/>
          <w:sz w:val="24"/>
          <w:szCs w:val="24"/>
        </w:rPr>
        <w:t xml:space="preserve">, brasileira, viúva, do lar, pensionista do INSS, nascida em 17/12/1948, portadora do RG nº 76373159/PR e do CPF nº 043.802.519-93, telefone: (41) 9 8717-2971, e-mail: correadossantosneuza@gmail.com, residente e domiciliada na Rua Ferdinand Otto Muller, nº 686-A, Bairro Tatuquara, Curitiba/PR, CEP 81.470-237;</w:t>
      </w:r>
      <w:bookmarkEnd w:id="0"/>
    </w:p>
    <w:p w14:paraId="4D097819" w14:textId="61F70B5A" w:rsidR="008D5C67" w:rsidRPr="00712599" w:rsidRDefault="008D5C67" w:rsidP="008D5C67">
      <w:pPr>
        <w:pStyle w:val="PargrafodaLista"/>
        <w:numPr>
          <w:ilvl w:val="1"/>
          <w:numId w:val="28"/>
        </w:numPr>
        <w:jc w:val="both"/>
        <w:rPr>
          <w:rFonts w:ascii="Arial Narrow" w:hAnsi="Arial Narrow" w:eastAsia="Arial Narrow" w:cs="Arial"/>
          <w:sz w:val="24"/>
          <w:szCs w:val="24"/>
        </w:rPr>
      </w:pPr>
      <w:r>
        <w:rPr>
          <w:rFonts w:ascii="Arial Narrow" w:hAnsi="Arial Narrow" w:eastAsia="Arial Narrow" w:cs="Arial"/>
          <w:sz w:val="24"/>
          <w:szCs w:val="24"/>
        </w:rPr>
        <w:t xml:space="preserve">a parte anteriormente qualificada, por intermédio de seus advogados:</w:t>
      </w:r>
    </w:p>
    <w:p w14:paraId="2CE52127" w14:textId="39D9F7BB" w:rsidR="008D5C67" w:rsidRDefault="008D5C67" w:rsidP="008D5C67">
      <w:pPr>
        <w:pStyle w:val="PargrafodaLista"/>
        <w:numPr>
          <w:ilvl w:val="0"/>
          <w:numId w:val="26"/>
        </w:numPr>
        <w:ind w:left="284"/>
        <w:jc w:val="both"/>
        <w:rPr>
          <w:rFonts w:ascii="Arial Narrow" w:hAnsi="Arial Narrow" w:eastAsia="Arial Narrow" w:cs="Arial"/>
          <w:sz w:val="24"/>
          <w:szCs w:val="24"/>
        </w:rPr>
      </w:pPr>
      <w:r>
        <w:rPr>
          <w:rFonts w:ascii="Arial Narrow" w:hAnsi="Arial Narrow" w:eastAsia="Arial Narrow" w:cs="Arial"/>
          <w:b/>
          <w:bCs/>
          <w:sz w:val="24"/>
          <w:szCs w:val="24"/>
        </w:rPr>
        <w:t>GUILHERME TKACZUK ARTIN</w:t>
      </w:r>
      <w:r>
        <w:rPr>
          <w:rFonts w:ascii="Arial Narrow" w:hAnsi="Arial Narrow" w:eastAsia="Arial Narrow" w:cs="Arial"/>
          <w:sz w:val="24"/>
          <w:szCs w:val="24"/>
        </w:rPr>
        <w:t xml:space="preserve">, regularmente inscrito na OAB/PR sob o nº 95.843, e-mail: guiartin@hotmail.com;</w:t>
      </w:r>
    </w:p>
    <w:p w14:paraId="3F5675D7" w14:textId="780BEA85" w:rsidR="008D5C67" w:rsidRPr="008D5C67" w:rsidRDefault="008D5C67" w:rsidP="008D5C67">
      <w:pPr>
        <w:pStyle w:val="PargrafodaLista"/>
        <w:numPr>
          <w:ilvl w:val="0"/>
          <w:numId w:val="26"/>
        </w:numPr>
        <w:ind w:left="284"/>
        <w:jc w:val="both"/>
        <w:rPr>
          <w:rFonts w:ascii="Arial Narrow" w:hAnsi="Arial Narrow" w:eastAsia="Arial Narrow" w:cs="Arial"/>
          <w:sz w:val="24"/>
          <w:szCs w:val="24"/>
        </w:rPr>
      </w:pPr>
      <w:r>
        <w:rPr>
          <w:rFonts w:ascii="Arial Narrow" w:hAnsi="Arial Narrow" w:eastAsia="Arial Narrow" w:cs="Arial"/>
          <w:b/>
          <w:bCs/>
          <w:sz w:val="24"/>
          <w:szCs w:val="24"/>
        </w:rPr>
        <w:t>ROBERTO ELIAS RODRIGUES</w:t>
      </w:r>
      <w:r>
        <w:rPr>
          <w:rFonts w:ascii="Arial Narrow" w:hAnsi="Arial Narrow" w:eastAsia="Arial Narrow" w:cs="Arial"/>
          <w:sz w:val="24"/>
          <w:szCs w:val="24"/>
        </w:rPr>
        <w:t xml:space="preserve">, regularmente inscrito na OAB/PR sob o nº 92.773, robertorodriguesadv@outlook.com;</w:t>
      </w:r>
    </w:p>
    <w:p w14:paraId="6A66CD0A" w14:textId="77777777" w:rsidR="008D5C67" w:rsidRPr="00712599" w:rsidRDefault="008D5C67" w:rsidP="008D5C67">
      <w:pPr>
        <w:pStyle w:val="PargrafodaLista"/>
        <w:numPr>
          <w:ilvl w:val="1"/>
          <w:numId w:val="27"/>
        </w:numPr>
        <w:ind w:left="709"/>
        <w:jc w:val="both"/>
        <w:rPr>
          <w:rFonts w:ascii="Arial Narrow" w:hAnsi="Arial Narrow" w:eastAsia="Arial Narrow" w:cs="Arial"/>
          <w:sz w:val="24"/>
          <w:szCs w:val="24"/>
        </w:rPr>
      </w:pPr>
      <w:r>
        <w:rPr>
          <w:rFonts w:ascii="Arial Narrow" w:hAnsi="Arial Narrow" w:eastAsia="Arial Narrow" w:cs="Arial"/>
          <w:sz w:val="24"/>
          <w:szCs w:val="24"/>
        </w:rPr>
        <w:t xml:space="preserve">vêm, respeitosamente, à presença de Vossa Excelência, propor ação:  </w:t>
      </w:r>
    </w:p>
    <w:p w14:paraId="2CAA59BD" w14:textId="77777777" w:rsidR="008D5C67" w:rsidRDefault="008D5C67" w:rsidP="008D5C67">
      <w:pPr>
        <w:widowControl w:val="0"/>
        <w:suppressAutoHyphens/>
        <w:jc w:val="both"/>
        <w:rPr>
          <w:rFonts w:ascii="Arial Narrow" w:hAnsi="Arial Narrow" w:eastAsia="Arial Narrow" w:cs="Arial"/>
        </w:rPr>
      </w:pPr>
    </w:p>
    <w:p w14:paraId="1E417058" w14:textId="5E01587E" w:rsidR="008D5C67" w:rsidRDefault="008D5C67" w:rsidP="008D5C67">
      <w:pPr>
        <w:widowControl w:val="0"/>
        <w:suppressAutoHyphens/>
        <w:jc w:val="center"/>
        <w:rPr>
          <w:rFonts w:ascii="Arial Narrow" w:hAnsi="Arial Narrow" w:eastAsia="Arial Narrow" w:cs="Arial"/>
          <w:b/>
          <w:bCs/>
          <w:sz w:val="28"/>
          <w:szCs w:val="28"/>
        </w:rPr>
      </w:pPr>
      <w:bookmarkStart w:id="1" w:name="_Hlk216012862"/>
      <w:r>
        <w:rPr>
          <w:rFonts w:ascii="Arial Narrow" w:hAnsi="Arial Narrow" w:eastAsia="Arial Narrow" w:cs="Arial"/>
          <w:b/>
          <w:bCs/>
          <w:sz w:val="28"/>
          <w:szCs w:val="28"/>
        </w:rPr>
        <w:t>AÇÃO DE RESTITUIÇÃO DE QUANTIA PAGA POR VÍCIO DO PRODUTO C/C COBRANÇA DE INDENIZAÇÃO SECURITÁRIA E INDENIZAÇÃO POR DANOS MORAIS</w:t>
      </w:r>
    </w:p>
    <w:p w14:paraId="4664BFB9" w14:textId="77777777" w:rsidR="008D5C67" w:rsidRPr="001D541C" w:rsidRDefault="008D5C67" w:rsidP="008D5C67">
      <w:pPr>
        <w:widowControl w:val="0"/>
        <w:suppressAutoHyphens/>
        <w:jc w:val="center"/>
        <w:rPr>
          <w:rFonts w:ascii="Arial Narrow" w:hAnsi="Arial Narrow" w:eastAsia="Arial Narrow" w:cs="Arial"/>
          <w:sz w:val="28"/>
          <w:szCs w:val="28"/>
        </w:rPr>
      </w:pPr>
    </w:p>
    <w:bookmarkEnd w:id="1"/>
    <w:p w14:paraId="7B887D96" w14:textId="77777777" w:rsidR="008D5C67" w:rsidRPr="000453AB" w:rsidRDefault="008D5C67" w:rsidP="008D5C67">
      <w:pPr>
        <w:pStyle w:val="PargrafodaLista"/>
        <w:widowControl w:val="0"/>
        <w:numPr>
          <w:ilvl w:val="1"/>
          <w:numId w:val="26"/>
        </w:numPr>
        <w:ind w:left="709"/>
        <w:jc w:val="both"/>
        <w:rPr>
          <w:rFonts w:ascii="Arial Narrow" w:hAnsi="Arial Narrow" w:eastAsia="Arial Narrow" w:cs="Arial"/>
          <w:sz w:val="24"/>
          <w:szCs w:val="24"/>
        </w:rPr>
      </w:pPr>
      <w:r>
        <w:rPr>
          <w:rFonts w:ascii="Arial Narrow" w:hAnsi="Arial Narrow" w:eastAsia="Arial Narrow" w:cs="Arial"/>
          <w:sz w:val="24"/>
          <w:szCs w:val="24"/>
        </w:rPr>
        <w:t>em face de:</w:t>
        <w:tab/>
      </w:r>
    </w:p>
    <w:p w14:paraId="3E46EA37" w14:textId="6D1573BA" w:rsidR="008D5C67" w:rsidRDefault="00EA12C2" w:rsidP="008D5C67">
      <w:pPr>
        <w:pStyle w:val="PargrafodaLista"/>
        <w:widowControl w:val="0"/>
        <w:numPr>
          <w:ilvl w:val="0"/>
          <w:numId w:val="26"/>
        </w:numPr>
        <w:ind w:left="284"/>
        <w:jc w:val="both"/>
        <w:rPr>
          <w:rFonts w:ascii="Arial Narrow" w:hAnsi="Arial Narrow" w:eastAsia="Arial Narrow" w:cs="Arial"/>
          <w:sz w:val="24"/>
          <w:szCs w:val="24"/>
        </w:rPr>
      </w:pPr>
      <w:r>
        <w:rPr>
          <w:rFonts w:ascii="Arial Narrow" w:hAnsi="Arial Narrow" w:eastAsia="Arial Narrow" w:cs="Arial"/>
          <w:b/>
          <w:bCs/>
          <w:sz w:val="24"/>
          <w:szCs w:val="24"/>
        </w:rPr>
        <w:t>ELECTROLUX DO BRASIL S.A.</w:t>
      </w:r>
      <w:r>
        <w:rPr>
          <w:rFonts w:ascii="Arial Narrow" w:hAnsi="Arial Narrow" w:eastAsia="Arial Narrow" w:cs="Arial"/>
          <w:sz w:val="24"/>
          <w:szCs w:val="24"/>
        </w:rPr>
        <w:t xml:space="preserve">, pessoa jurídica de direito privado, inscrita no CNPJ sob o nº 76.487.032/0001-25, com sede na Rua Ministro Gabriel Passos, nº 360, Bairro Guabirotuba, Curitiba/PR, CEP 81.520-900;</w:t>
      </w:r>
    </w:p>
    <w:p w14:paraId="3E46EA38" w14:textId="6D1573BA" w:rsidR="008D5C67" w:rsidRDefault="00EA12C2" w:rsidP="008D5C67">
      <w:pPr>
        <w:pStyle w:val="PargrafodaLista"/>
        <w:widowControl w:val="0"/>
        <w:numPr>
          <w:ilvl w:val="0"/>
          <w:numId w:val="26"/>
        </w:numPr>
        <w:ind w:left="284"/>
        <w:jc w:val="both"/>
        <w:rPr>
          <w:rFonts w:ascii="Arial Narrow" w:hAnsi="Arial Narrow" w:eastAsia="Arial Narrow" w:cs="Arial"/>
          <w:sz w:val="24"/>
          <w:szCs w:val="24"/>
        </w:rPr>
      </w:pPr>
      <w:r>
        <w:rPr>
          <w:rFonts w:ascii="Arial Narrow" w:hAnsi="Arial Narrow" w:eastAsia="Arial Narrow" w:cs="Arial"/>
          <w:b/>
          <w:bCs/>
          <w:sz w:val="24"/>
          <w:szCs w:val="24"/>
        </w:rPr>
        <w:t>HORFRAN COMERCIAL ELETRO MÓVEIS LTDA.</w:t>
      </w:r>
      <w:r>
        <w:rPr>
          <w:rFonts w:ascii="Arial Narrow" w:hAnsi="Arial Narrow" w:eastAsia="Arial Narrow" w:cs="Arial"/>
          <w:sz w:val="24"/>
          <w:szCs w:val="24"/>
        </w:rPr>
        <w:t xml:space="preserve"> (nome fantasia MULTILOJA), pessoa jurídica de direito privado, inscrita no CNPJ sob o nº 02.869.763/0001-07, com sede na Avenida Senador Salgado Filho, nº 3.857, Bairro Uberaba, Curitiba/PR, CEP 81.570-001, e filial vendedora inscrita no CNPJ sob o nº 02.869.763/0077-05, situada na Avenida Crispim Furquim de Siqueira, nº 1.550, Centro, Itaperuçu/PR, CEP 83.560-007;</w:t>
      </w:r>
    </w:p>
    <w:p w14:paraId="3E46EA39" w14:textId="6D1573BA" w:rsidR="008D5C67" w:rsidRDefault="00EA12C2" w:rsidP="008D5C67">
      <w:pPr>
        <w:pStyle w:val="PargrafodaLista"/>
        <w:widowControl w:val="0"/>
        <w:numPr>
          <w:ilvl w:val="0"/>
          <w:numId w:val="26"/>
        </w:numPr>
        <w:ind w:left="284"/>
        <w:jc w:val="both"/>
        <w:rPr>
          <w:rFonts w:ascii="Arial Narrow" w:hAnsi="Arial Narrow" w:eastAsia="Arial Narrow" w:cs="Arial"/>
          <w:sz w:val="24"/>
          <w:szCs w:val="24"/>
        </w:rPr>
      </w:pPr>
      <w:r>
        <w:rPr>
          <w:rFonts w:ascii="Arial Narrow" w:hAnsi="Arial Narrow" w:eastAsia="Arial Narrow" w:cs="Arial"/>
          <w:b/>
          <w:bCs/>
          <w:sz w:val="24"/>
          <w:szCs w:val="24"/>
        </w:rPr>
        <w:t>ZURICH MINAS BRASIL SEGUROS S.A.</w:t>
      </w:r>
      <w:r>
        <w:rPr>
          <w:rFonts w:ascii="Arial Narrow" w:hAnsi="Arial Narrow" w:eastAsia="Arial Narrow" w:cs="Arial"/>
          <w:sz w:val="24"/>
          <w:szCs w:val="24"/>
        </w:rPr>
        <w:t xml:space="preserve">, pessoa jurídica de direito privado, inscrita no CNPJ sob o nº 17.197.385/0001-21, com sede na Avenida Getúlio Vargas, nº 1.420, 5º e 6º andares, Bairro Funcionários, Belo Horizonte/MG, CEP 30.112-021;</w:t>
      </w:r>
    </w:p>
    <w:p w14:paraId="6CA072A8" w14:textId="05162604" w:rsidR="008D5C67" w:rsidRPr="008D5C67" w:rsidRDefault="008D5C67" w:rsidP="00C07418">
      <w:pPr>
        <w:pStyle w:val="PargrafodaLista"/>
        <w:numPr>
          <w:ilvl w:val="1"/>
          <w:numId w:val="26"/>
        </w:numPr>
        <w:ind w:left="709"/>
        <w:jc w:val="both"/>
        <w:rPr>
          <w:rFonts w:ascii="Arial Narrow" w:hAnsi="Arial Narrow" w:eastAsia="Arial Narrow" w:cs="Arial"/>
          <w:b/>
          <w:bCs/>
        </w:rPr>
      </w:pPr>
      <w:r>
        <w:rPr>
          <w:rFonts w:ascii="Arial Narrow" w:hAnsi="Arial Narrow" w:eastAsia="Arial Narrow" w:cs="Arial"/>
          <w:sz w:val="24"/>
          <w:szCs w:val="24"/>
        </w:rPr>
        <w:t>pelos fatos e fundamentos a seguir expostos:</w:t>
      </w:r>
    </w:p>
    <w:p w14:paraId="17F60E35" w14:textId="77777777" w:rsidR="008D5C67" w:rsidRPr="008D5C67" w:rsidRDefault="008D5C67" w:rsidP="008D5C67">
      <w:pPr>
        <w:jc w:val="both"/>
        <w:rPr>
          <w:rFonts w:ascii="Arial Narrow" w:hAnsi="Arial Narrow" w:eastAsia="Arial Narrow" w:cs="Arial"/>
          <w:b/>
          <w:bCs/>
        </w:rPr>
      </w:pPr>
    </w:p>
    <w:tbl>
      <w:tblPr>
        <w:tblW w:type="dxa" w:w="8504"/>
        <w:jc w:val="center"/>
        <w:tblBorders>
          <w:top w:val="single" w:sz="4" w:space="0" w:color="B4C0D3"/>
          <w:left w:val="single" w:sz="4" w:space="0" w:color="B4C0D3"/>
          <w:bottom w:val="single" w:sz="4" w:space="0" w:color="B4C0D3"/>
          <w:right w:val="single" w:sz="4" w:space="0" w:color="B4C0D3"/>
          <w:insideH w:val="single" w:sz="4" w:space="0" w:color="B4C0D3"/>
          <w:insideV w:val="single" w:sz="4" w:space="0" w:color="B4C0D3"/>
        </w:tblBorders>
        <w:tblLayout w:type="fixed"/>
        <w:tblLook w:firstColumn="1" w:firstRow="1" w:lastColumn="0" w:lastRow="0" w:noHBand="0" w:noVBand="1" w:val="04A0"/>
      </w:tblPr>
      <w:tblGrid>
        <w:gridCol w:w="2041"/>
        <w:gridCol w:w="6463"/>
      </w:tblGrid>
      <w:tr>
        <w:tc>
          <w:tcPr>
            <w:tcW w:type="dxa" w:w="8504"/>
            <w:gridSpan w:val="2"/>
            <w:shd w:val="clear" w:color="auto" w:fill="1F3864"/>
          </w:tcPr>
          <w:p>
            <w:pPr>
              <w:spacing w:before="60" w:after="60" w:lineRule="auto" w:line="240"/>
              <w:ind w:left="0" w:right="0" w:firstLine="0"/>
              <w:jc w:val="center"/>
            </w:pPr>
            <w:r/>
            <w:r>
              <w:rPr>
                <w:rFonts w:ascii="Arial Narrow" w:hAnsi="Arial Narrow" w:eastAsia="Arial Narrow" w:cs="Arial Narrow"/>
                <w:b/>
                <w:color w:val="FFFFFF"/>
                <w:sz w:val="24"/>
              </w:rPr>
              <w:t>SÍNTESE DA PETIÇÃO INICIAL</w:t>
            </w:r>
          </w:p>
        </w:tc>
      </w:tr>
      <w:tr>
        <w:tc>
          <w:tcPr>
            <w:tcW w:type="dxa" w:w="2041"/>
            <w:shd w:val="clear" w:color="auto" w:fill="EEF2F7"/>
          </w:tcPr>
          <w:p>
            <w:pPr>
              <w:spacing w:before="60" w:after="60" w:lineRule="auto" w:line="240"/>
              <w:ind w:left="0" w:right="0" w:firstLine="0"/>
              <w:jc w:val="left"/>
            </w:pPr>
            <w:r/>
            <w:r>
              <w:rPr>
                <w:rFonts w:ascii="Arial Narrow" w:hAnsi="Arial Narrow" w:eastAsia="Arial Narrow" w:cs="Arial Narrow"/>
                <w:b/>
                <w:color w:val="1F3864"/>
                <w:sz w:val="22"/>
              </w:rPr>
              <w:t>Autora</w:t>
            </w:r>
          </w:p>
        </w:tc>
        <w:tc>
          <w:tcPr>
            <w:tcW w:type="dxa" w:w="6463"/>
          </w:tcPr>
          <w:p>
            <w:pPr>
              <w:spacing w:before="60" w:after="60" w:lineRule="auto" w:line="240"/>
              <w:ind w:left="0" w:right="0" w:firstLine="0"/>
              <w:jc w:val="left"/>
            </w:pPr>
            <w:r/>
            <w:r>
              <w:rPr>
                <w:rFonts w:ascii="Arial Narrow" w:hAnsi="Arial Narrow" w:eastAsia="Arial Narrow" w:cs="Arial Narrow"/>
                <w:b w:val="0"/>
                <w:sz w:val="22"/>
              </w:rPr>
              <w:t>Neusa Corrêa dos Santos, 77 anos, pensionista do INSS (prioridade de tramitação e justiça gratuita).</w:t>
            </w:r>
          </w:p>
        </w:tc>
      </w:tr>
      <w:tr>
        <w:tc>
          <w:tcPr>
            <w:tcW w:type="dxa" w:w="2041"/>
            <w:shd w:val="clear" w:color="auto" w:fill="EEF2F7"/>
          </w:tcPr>
          <w:p>
            <w:pPr>
              <w:spacing w:before="60" w:after="60" w:lineRule="auto" w:line="240"/>
              <w:ind w:left="0" w:right="0" w:firstLine="0"/>
              <w:jc w:val="left"/>
            </w:pPr>
            <w:r/>
            <w:r>
              <w:rPr>
                <w:rFonts w:ascii="Arial Narrow" w:hAnsi="Arial Narrow" w:eastAsia="Arial Narrow" w:cs="Arial Narrow"/>
                <w:b/>
                <w:color w:val="1F3864"/>
                <w:sz w:val="22"/>
              </w:rPr>
              <w:t>Rés</w:t>
            </w:r>
          </w:p>
        </w:tc>
        <w:tc>
          <w:tcPr>
            <w:tcW w:type="dxa" w:w="6463"/>
          </w:tcPr>
          <w:p>
            <w:pPr>
              <w:spacing w:before="60" w:after="60" w:lineRule="auto" w:line="240"/>
              <w:ind w:left="0" w:right="0" w:firstLine="0"/>
              <w:jc w:val="left"/>
            </w:pPr>
            <w:r/>
            <w:r>
              <w:rPr>
                <w:rFonts w:ascii="Arial Narrow" w:hAnsi="Arial Narrow" w:eastAsia="Arial Narrow" w:cs="Arial Narrow"/>
                <w:b w:val="0"/>
                <w:sz w:val="22"/>
              </w:rPr>
              <w:t>Electrolux do Brasil S.A. (fabricante); Horfran Comercial Eletro Móveis Ltda., Multiloja (comerciante e representante do seguro); Zurich Minas Brasil Seguros S.A. (seguradora da garantia estendida).</w:t>
            </w:r>
          </w:p>
        </w:tc>
      </w:tr>
      <w:tr>
        <w:tc>
          <w:tcPr>
            <w:tcW w:type="dxa" w:w="2041"/>
            <w:shd w:val="clear" w:color="auto" w:fill="EEF2F7"/>
          </w:tcPr>
          <w:p>
            <w:pPr>
              <w:spacing w:before="60" w:after="60" w:lineRule="auto" w:line="240"/>
              <w:ind w:left="0" w:right="0" w:firstLine="0"/>
              <w:jc w:val="left"/>
            </w:pPr>
            <w:r/>
            <w:r>
              <w:rPr>
                <w:rFonts w:ascii="Arial Narrow" w:hAnsi="Arial Narrow" w:eastAsia="Arial Narrow" w:cs="Arial Narrow"/>
                <w:b/>
                <w:color w:val="1F3864"/>
                <w:sz w:val="22"/>
              </w:rPr>
              <w:t>Produto</w:t>
            </w:r>
          </w:p>
        </w:tc>
        <w:tc>
          <w:tcPr>
            <w:tcW w:type="dxa" w:w="6463"/>
          </w:tcPr>
          <w:p>
            <w:pPr>
              <w:spacing w:before="60" w:after="60" w:lineRule="auto" w:line="240"/>
              <w:ind w:left="0" w:right="0" w:firstLine="0"/>
              <w:jc w:val="left"/>
            </w:pPr>
            <w:r/>
            <w:r>
              <w:rPr>
                <w:rFonts w:ascii="Arial Narrow" w:hAnsi="Arial Narrow" w:eastAsia="Arial Narrow" w:cs="Arial Narrow"/>
                <w:b w:val="0"/>
                <w:sz w:val="22"/>
              </w:rPr>
              <w:t>Refrigerador Electrolux TF55 Frost Free, 431 litros, adquirido em 08/08/2024 por R$ 3.729,73, com seguro de garantia estendida Zurich.</w:t>
            </w:r>
          </w:p>
        </w:tc>
      </w:tr>
      <w:tr>
        <w:tc>
          <w:tcPr>
            <w:tcW w:type="dxa" w:w="2041"/>
            <w:shd w:val="clear" w:color="auto" w:fill="EEF2F7"/>
          </w:tcPr>
          <w:p>
            <w:pPr>
              <w:spacing w:before="60" w:after="60" w:lineRule="auto" w:line="240"/>
              <w:ind w:left="0" w:right="0" w:firstLine="0"/>
              <w:jc w:val="left"/>
            </w:pPr>
            <w:r/>
            <w:r>
              <w:rPr>
                <w:rFonts w:ascii="Arial Narrow" w:hAnsi="Arial Narrow" w:eastAsia="Arial Narrow" w:cs="Arial Narrow"/>
                <w:b/>
                <w:color w:val="1F3864"/>
                <w:sz w:val="22"/>
              </w:rPr>
              <w:t>Fato central</w:t>
            </w:r>
          </w:p>
        </w:tc>
        <w:tc>
          <w:tcPr>
            <w:tcW w:type="dxa" w:w="6463"/>
          </w:tcPr>
          <w:p>
            <w:pPr>
              <w:spacing w:before="60" w:after="60" w:lineRule="auto" w:line="240"/>
              <w:ind w:left="0" w:right="0" w:firstLine="0"/>
              <w:jc w:val="left"/>
            </w:pPr>
            <w:r/>
            <w:r>
              <w:rPr>
                <w:rFonts w:ascii="Arial Narrow" w:hAnsi="Arial Narrow" w:eastAsia="Arial Narrow" w:cs="Arial Narrow"/>
                <w:b w:val="0"/>
                <w:sz w:val="22"/>
              </w:rPr>
              <w:t>Oxidação (ferrugem) na estrutura do gabinete com menos de um ano de uso. Sinistro nº 4372332 aberto em 22/05/2026 e vistoria realizada na residência da Autora, sem qualquer solução ou resposta das Rés.</w:t>
            </w:r>
          </w:p>
        </w:tc>
      </w:tr>
      <w:tr>
        <w:tc>
          <w:tcPr>
            <w:tcW w:type="dxa" w:w="2041"/>
            <w:shd w:val="clear" w:color="auto" w:fill="EEF2F7"/>
          </w:tcPr>
          <w:p>
            <w:pPr>
              <w:spacing w:before="60" w:after="60" w:lineRule="auto" w:line="240"/>
              <w:ind w:left="0" w:right="0" w:firstLine="0"/>
              <w:jc w:val="left"/>
            </w:pPr>
            <w:r/>
            <w:r>
              <w:rPr>
                <w:rFonts w:ascii="Arial Narrow" w:hAnsi="Arial Narrow" w:eastAsia="Arial Narrow" w:cs="Arial Narrow"/>
                <w:b/>
                <w:color w:val="1F3864"/>
                <w:sz w:val="22"/>
              </w:rPr>
              <w:t>Fundamentos</w:t>
            </w:r>
          </w:p>
        </w:tc>
        <w:tc>
          <w:tcPr>
            <w:tcW w:type="dxa" w:w="6463"/>
          </w:tcPr>
          <w:p>
            <w:pPr>
              <w:spacing w:before="60" w:after="60" w:lineRule="auto" w:line="240"/>
              <w:ind w:left="0" w:right="0" w:firstLine="0"/>
              <w:jc w:val="left"/>
            </w:pPr>
            <w:r/>
            <w:r>
              <w:rPr>
                <w:rFonts w:ascii="Arial Narrow" w:hAnsi="Arial Narrow" w:eastAsia="Arial Narrow" w:cs="Arial Narrow"/>
                <w:b w:val="0"/>
                <w:sz w:val="22"/>
              </w:rPr>
              <w:t>CDC, arts. 6º, VI e VIII, 7º, parágrafo único, 18, §§ 1º e 3º, 25, § 1º, e 34; Lei nº 15.040/2024, art. 86; Estatuto da Pessoa Idosa, arts. 3º e 4º; CF, art. 5º, V e X.</w:t>
            </w:r>
          </w:p>
        </w:tc>
      </w:tr>
      <w:tr>
        <w:tc>
          <w:tcPr>
            <w:tcW w:type="dxa" w:w="2041"/>
            <w:shd w:val="clear" w:color="auto" w:fill="EEF2F7"/>
          </w:tcPr>
          <w:p>
            <w:pPr>
              <w:spacing w:before="60" w:after="60" w:lineRule="auto" w:line="240"/>
              <w:ind w:left="0" w:right="0" w:firstLine="0"/>
              <w:jc w:val="left"/>
            </w:pPr>
            <w:r/>
            <w:r>
              <w:rPr>
                <w:rFonts w:ascii="Arial Narrow" w:hAnsi="Arial Narrow" w:eastAsia="Arial Narrow" w:cs="Arial Narrow"/>
                <w:b/>
                <w:color w:val="1F3864"/>
                <w:sz w:val="22"/>
              </w:rPr>
              <w:t>Pedidos</w:t>
            </w:r>
          </w:p>
        </w:tc>
        <w:tc>
          <w:tcPr>
            <w:tcW w:type="dxa" w:w="6463"/>
          </w:tcPr>
          <w:p>
            <w:pPr>
              <w:spacing w:before="60" w:after="60" w:lineRule="auto" w:line="240"/>
              <w:ind w:left="0" w:right="0" w:firstLine="0"/>
              <w:jc w:val="left"/>
            </w:pPr>
            <w:r/>
            <w:r>
              <w:rPr>
                <w:rFonts w:ascii="Arial Narrow" w:hAnsi="Arial Narrow" w:eastAsia="Arial Narrow" w:cs="Arial Narrow"/>
                <w:b w:val="0"/>
                <w:sz w:val="22"/>
              </w:rPr>
              <w:t>Restituição de R$ 3.729,73, com retirada do produto pelas Rés; danos morais em valor não inferior a R$ 5.000,00; justiça gratuita (ADC 80/STF), prioridade de tramitação e inversão do ônus da prova.</w:t>
            </w:r>
          </w:p>
        </w:tc>
      </w:tr>
      <w:tr>
        <w:tc>
          <w:tcPr>
            <w:tcW w:type="dxa" w:w="2041"/>
            <w:shd w:val="clear" w:color="auto" w:fill="EEF2F7"/>
          </w:tcPr>
          <w:p>
            <w:pPr>
              <w:spacing w:before="60" w:after="60" w:lineRule="auto" w:line="240"/>
              <w:ind w:left="0" w:right="0" w:firstLine="0"/>
              <w:jc w:val="left"/>
            </w:pPr>
            <w:r/>
            <w:r>
              <w:rPr>
                <w:rFonts w:ascii="Arial Narrow" w:hAnsi="Arial Narrow" w:eastAsia="Arial Narrow" w:cs="Arial Narrow"/>
                <w:b/>
                <w:color w:val="1F3864"/>
                <w:sz w:val="22"/>
              </w:rPr>
              <w:t>Valor da causa</w:t>
            </w:r>
          </w:p>
        </w:tc>
        <w:tc>
          <w:tcPr>
            <w:tcW w:type="dxa" w:w="6463"/>
          </w:tcPr>
          <w:p>
            <w:pPr>
              <w:spacing w:before="60" w:after="60" w:lineRule="auto" w:line="240"/>
              <w:ind w:left="0" w:right="0" w:firstLine="0"/>
              <w:jc w:val="left"/>
            </w:pPr>
            <w:r/>
            <w:r>
              <w:rPr>
                <w:rFonts w:ascii="Arial Narrow" w:hAnsi="Arial Narrow" w:eastAsia="Arial Narrow" w:cs="Arial Narrow"/>
                <w:b w:val="0"/>
                <w:sz w:val="22"/>
              </w:rPr>
              <w:t>R$ 8.729,73</w:t>
            </w:r>
          </w:p>
        </w:tc>
      </w:tr>
    </w:tbl>
    <w:p>
      <w:pPr>
        <w:spacing w:before="0" w:after="120" w:lineRule="auto" w:line="276"/>
        <w:ind w:left="0" w:right="0" w:firstLine="0"/>
        <w:jc w:val="both"/>
      </w:pPr>
    </w:p>
    <w:p>
      <w:pPr>
        <w:spacing w:before="240" w:after="240" w:lineRule="auto" w:line="276"/>
        <w:ind w:firstLine="0" w:left="2835" w:right="0"/>
        <w:jc w:val="both"/>
      </w:pPr>
      <w:r>
        <w:rPr>
          <w:sz w:val="24"/>
        </w:rPr>
      </w:r>
      <w:r>
        <w:rPr>
          <w:rFonts w:ascii="Arial Narrow" w:hAnsi="Arial Narrow" w:eastAsia="Arial Narrow"/>
          <w:b/>
          <w:i w:val="0"/>
          <w:sz w:val="24"/>
        </w:rPr>
        <w:t>1. DO SUBSTABELECIMENTO COM RESERVA DE PODERES</w:t>
      </w:r>
    </w:p>
    <w:p>
      <w:pPr>
        <w:pBdr>
          <w:top w:val="single" w:sz="4" w:space="6" w:color="C9D3E3"/>
          <w:left w:val="single" w:sz="24" w:space="8" w:color="1F3864"/>
          <w:bottom w:val="single" w:sz="4" w:space="6" w:color="C9D3E3"/>
          <w:right w:val="single" w:sz="4" w:space="6" w:color="C9D3E3"/>
        </w:pBdr>
        <w:shd w:val="clear" w:color="auto" w:fill="EEF2F7"/>
        <w:spacing w:before="0" w:after="28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O advogado constituído substabelece, com reserva de poderes, ao advogado Guilherme Tkaczuk Artin, e requer que todas as intimações sejam feitas em nome de ambos, sob pena de nulidade (art. 272, § 5º, do CPC).</w:t>
      </w:r>
    </w:p>
    <w:p>
      <w:pPr>
        <w:spacing w:before="0" w:after="240" w:lineRule="auto" w:line="276"/>
        <w:ind w:firstLine="2835" w:left="0" w:right="0"/>
        <w:jc w:val="both"/>
      </w:pPr>
      <w:r>
        <w:rPr>
          <w:sz w:val="24"/>
        </w:rPr>
      </w:r>
      <w:r>
        <w:rPr>
          <w:rFonts w:ascii="Arial Narrow" w:hAnsi="Arial Narrow" w:eastAsia="Arial Narrow"/>
          <w:b w:val="0"/>
          <w:i w:val="0"/>
          <w:sz w:val="24"/>
        </w:rPr>
        <w:t>Preliminarmente, o advogado ROBERTO ELIAS RODRIGUES, inscrito na OAB/PR sob o nº 92.773, constituído pela Autora por meio da procuração anexa, que lhe confere expressamente o poder de "substabelecer com ou sem reserva de poderes", SUBSTABELECE, COM RESERVA DE PODERES, ao advogado GUILHERME TKACZUK ARTIN, inscrito na OAB/PR sob o nº 95.843, e-mail guiartin@hotmail.com, todos os poderes que lhe foram outorgados no referido instrumento, para atuarem em conjunto ou separadamente na presente demanda, inclusive os poderes especiais nele previstos.</w:t>
      </w:r>
    </w:p>
    <w:p>
      <w:pPr>
        <w:spacing w:before="0" w:after="240" w:lineRule="auto" w:line="276"/>
        <w:ind w:firstLine="2835" w:left="0" w:right="0"/>
        <w:jc w:val="both"/>
      </w:pPr>
      <w:r>
        <w:rPr>
          <w:sz w:val="24"/>
        </w:rPr>
      </w:r>
      <w:r>
        <w:rPr>
          <w:rFonts w:ascii="Arial Narrow" w:hAnsi="Arial Narrow" w:eastAsia="Arial Narrow"/>
          <w:b w:val="0"/>
          <w:i w:val="0"/>
          <w:sz w:val="24"/>
        </w:rPr>
        <w:t>Requer, ainda, nos termos do art. 272, § 5º, do Código de Processo Civil, que todas as intimações e comunicações dos atos processuais sejam feitas em nome de ambos os advogados, ROBERTO ELIAS RODRIGUES (OAB/PR 92.773) e GUILHERME TKACZUK ARTIN (OAB/PR 95.843), sob pena de nulidade, já que "Constando dos autos pedido expresso para que as comunicações dos atos processuais sejam feitas em nome dos advogados indicados, o seu desatendimento implicará nulidade."</w:t>
      </w:r>
    </w:p>
    <w:p>
      <w:pPr>
        <w:spacing w:before="240" w:after="240" w:lineRule="auto" w:line="276"/>
        <w:ind w:firstLine="0" w:left="2835" w:right="0"/>
        <w:jc w:val="both"/>
      </w:pPr>
      <w:r>
        <w:rPr>
          <w:sz w:val="24"/>
        </w:rPr>
      </w:r>
      <w:r>
        <w:rPr>
          <w:rFonts w:ascii="Arial Narrow" w:hAnsi="Arial Narrow" w:eastAsia="Arial Narrow"/>
          <w:b/>
          <w:i w:val="0"/>
          <w:sz w:val="24"/>
        </w:rPr>
        <w:t>2. DOS FATOS</w:t>
      </w:r>
    </w:p>
    <w:p>
      <w:pPr>
        <w:pBdr>
          <w:top w:val="single" w:sz="4" w:space="6" w:color="C9D3E3"/>
          <w:left w:val="single" w:sz="24" w:space="8" w:color="1F3864"/>
          <w:bottom w:val="single" w:sz="4" w:space="6" w:color="C9D3E3"/>
          <w:right w:val="single" w:sz="4" w:space="6" w:color="C9D3E3"/>
        </w:pBdr>
        <w:shd w:val="clear" w:color="auto" w:fill="EEF2F7"/>
        <w:spacing w:before="0" w:after="28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Refrigerador Electrolux comprado em 08/08/2024, com seguro de garantia estendida da Zurich vendido pela própria loja, enferrujou com menos de um ano de uso. A Autora acionou as Rés e abriu sinistro, houve vistoria em sua casa e, desde então, nenhuma solução ou resposta.</w:t>
      </w:r>
    </w:p>
    <w:p>
      <w:pPr>
        <w:spacing w:before="0" w:after="240" w:lineRule="auto" w:line="276"/>
        <w:ind w:firstLine="2835" w:left="0" w:right="0"/>
        <w:jc w:val="both"/>
      </w:pPr>
      <w:r>
        <w:rPr>
          <w:sz w:val="24"/>
        </w:rPr>
      </w:r>
      <w:r>
        <w:rPr>
          <w:rFonts w:ascii="Arial Narrow" w:hAnsi="Arial Narrow" w:eastAsia="Arial Narrow"/>
          <w:b w:val="0"/>
          <w:i w:val="0"/>
          <w:sz w:val="24"/>
        </w:rPr>
        <w:t>Em 08/08/2024, a Autora, pessoa idosa, hoje com 77 anos de idade, adquiriu na loja MULTILOJA, mantida pela segunda Ré, um refrigerador ELECTROLUX TF55 Frost Free, 431 litros, branco, 110 V, fabricado pela primeira Ré, pelo valor de R$ 3.699,73, acrescido de R$ 30,00 de frete, no total de R$ 3.729,73, conforme a Nota Fiscal Eletrônica nº 002.043.395, série 1.</w:t>
      </w:r>
    </w:p>
    <w:p>
      <w:pPr>
        <w:spacing w:before="0" w:after="240" w:lineRule="auto" w:line="276"/>
        <w:ind w:firstLine="2835" w:left="0" w:right="0"/>
        <w:jc w:val="both"/>
      </w:pPr>
      <w:r>
        <w:rPr>
          <w:sz w:val="24"/>
        </w:rPr>
      </w:r>
      <w:r>
        <w:rPr>
          <w:rFonts w:ascii="Arial Narrow" w:hAnsi="Arial Narrow" w:eastAsia="Arial Narrow"/>
          <w:b w:val="0"/>
          <w:i w:val="0"/>
          <w:sz w:val="24"/>
        </w:rPr>
        <w:t>No mesmo ato, a segunda Ré, atuando como representante de seguros da terceira Ré, ofereceu e vendeu à Autora o "Bilhete de Seguro Zurich Garantia Estendida Original Eletro" nº 00000551630000010010184954, com prêmio de R$ 366,01 e IOF de R$ 25,16, tipo de garantia "Reparo" e limite máximo de R$ 3.699,73. O próprio bilhete informa que a loja mantém contrato de exclusividade com a seguradora e que recebeu 79% do prêmio pago (R$ 269,27) a título de remuneração.</w:t>
      </w:r>
    </w:p>
    <w:p>
      <w:pPr>
        <w:spacing w:before="0" w:after="240" w:lineRule="auto" w:line="276"/>
        <w:ind w:firstLine="2835" w:left="0" w:right="0"/>
        <w:jc w:val="both"/>
      </w:pPr>
      <w:r>
        <w:rPr>
          <w:sz w:val="24"/>
        </w:rPr>
      </w:r>
      <w:r>
        <w:rPr>
          <w:rFonts w:ascii="Arial Narrow" w:hAnsi="Arial Narrow" w:eastAsia="Arial Narrow"/>
          <w:b w:val="0"/>
          <w:i w:val="0"/>
          <w:sz w:val="24"/>
        </w:rPr>
        <w:t>A Autora, que vive com a pensão por morte que recebe do INSS, fez a compra parcelada e contratou o seguro justamente para ter a tranquilidade de contar com o refrigerador por longos anos, sem surpresas.</w:t>
      </w:r>
    </w:p>
    <w:p>
      <w:pPr>
        <w:spacing w:before="0" w:after="240" w:lineRule="auto" w:line="276"/>
        <w:ind w:firstLine="2835" w:left="0" w:right="0"/>
        <w:jc w:val="both"/>
      </w:pPr>
      <w:r>
        <w:rPr>
          <w:sz w:val="24"/>
        </w:rPr>
      </w:r>
      <w:r>
        <w:rPr>
          <w:rFonts w:ascii="Arial Narrow" w:hAnsi="Arial Narrow" w:eastAsia="Arial Narrow"/>
          <w:b w:val="0"/>
          <w:i w:val="0"/>
          <w:sz w:val="24"/>
        </w:rPr>
        <w:t>Ocorre que, com menos de um ano de uso e ainda no período de garantia, o refrigerador passou a apresentar oxidação (ferrugem) na estrutura metálica do gabinete, junto à base frontal, com perda de material, como demonstram as fotografias anexas. A Autora utiliza o aparelho de forma exclusivamente doméstica, em sua residência, e nunca o submeteu a qualquer condição anormal de uso.</w:t>
      </w:r>
    </w:p>
    <w:p>
      <w:pPr>
        <w:spacing w:before="0" w:after="240" w:lineRule="auto" w:line="276"/>
        <w:ind w:firstLine="2835" w:left="0" w:right="0"/>
        <w:jc w:val="both"/>
      </w:pPr>
      <w:r>
        <w:rPr>
          <w:sz w:val="24"/>
        </w:rPr>
      </w:r>
      <w:r>
        <w:rPr>
          <w:rFonts w:ascii="Arial Narrow" w:hAnsi="Arial Narrow" w:eastAsia="Arial Narrow"/>
          <w:b w:val="0"/>
          <w:i w:val="0"/>
          <w:sz w:val="24"/>
        </w:rPr>
        <w:t>A Autora procurou as Rés para acionar a garantia. Junto à fabricante, efetuou ligações ao SAC (0800 728 8778) em 22/05/2026 e em 02/07/2026. Junto à seguradora, abriu o sinistro nº 4372332 em 22/05/2026, e a seguradora chegou a enviar técnico à residência da Autora para verificar as condições do refrigerador.</w:t>
      </w:r>
    </w:p>
    <w:p>
      <w:pPr>
        <w:spacing w:before="0" w:after="240" w:lineRule="auto" w:line="276"/>
        <w:ind w:firstLine="2835" w:left="0" w:right="0"/>
        <w:jc w:val="both"/>
      </w:pPr>
      <w:r>
        <w:rPr>
          <w:sz w:val="24"/>
        </w:rPr>
      </w:r>
      <w:r>
        <w:rPr>
          <w:rFonts w:ascii="Arial Narrow" w:hAnsi="Arial Narrow" w:eastAsia="Arial Narrow"/>
          <w:b w:val="0"/>
          <w:i w:val="0"/>
          <w:sz w:val="24"/>
        </w:rPr>
        <w:t>Desde então, contudo, nenhuma das Rés deu qualquer resposta: não autorizaram o reparo, não substituíram o produto, não restituíram o valor pago e não apresentaram recusa formal, expressa e motivada.</w:t>
      </w:r>
    </w:p>
    <w:p>
      <w:pPr>
        <w:spacing w:before="0" w:after="240" w:lineRule="auto" w:line="276"/>
        <w:ind w:firstLine="2835" w:left="0" w:right="0"/>
        <w:jc w:val="both"/>
      </w:pPr>
      <w:r>
        <w:rPr>
          <w:sz w:val="24"/>
        </w:rPr>
      </w:r>
      <w:r>
        <w:rPr>
          <w:rFonts w:ascii="Arial Narrow" w:hAnsi="Arial Narrow" w:eastAsia="Arial Narrow"/>
          <w:b w:val="0"/>
          <w:i w:val="0"/>
          <w:sz w:val="24"/>
        </w:rPr>
        <w:t>Até o momento, decorridos mais de quatro meses da abertura do sinistro, a Autora permanece sem qualquer solução, convivendo com um bem essencial em processo de deterioração dentro de sua casa, depois de ter pago pelo produto e por um seguro que deveria protegê-la exatamente dessa situação.</w:t>
      </w:r>
    </w:p>
    <w:p>
      <w:pPr>
        <w:spacing w:before="0" w:after="240" w:lineRule="auto" w:line="276"/>
        <w:ind w:firstLine="2835" w:left="0" w:right="0"/>
        <w:jc w:val="both"/>
      </w:pPr>
      <w:r>
        <w:rPr>
          <w:sz w:val="24"/>
        </w:rPr>
      </w:r>
      <w:r>
        <w:rPr>
          <w:rFonts w:ascii="Arial Narrow" w:hAnsi="Arial Narrow" w:eastAsia="Arial Narrow"/>
          <w:b w:val="0"/>
          <w:i w:val="0"/>
          <w:sz w:val="24"/>
        </w:rPr>
        <w:t>Diante desse cenário, não restou alternativa à Autora senão recorrer ao Poder Judiciário para obter a restituição da quantia paga, com a devolução do produto às Rés, bem como a reparação pelos danos morais sofridos.</w:t>
      </w:r>
    </w:p>
    <w:p>
      <w:pPr>
        <w:spacing w:before="240" w:after="240" w:lineRule="auto" w:line="276"/>
        <w:ind w:firstLine="0" w:left="2835" w:right="0"/>
        <w:jc w:val="both"/>
      </w:pPr>
      <w:r>
        <w:rPr>
          <w:sz w:val="24"/>
        </w:rPr>
      </w:r>
      <w:r>
        <w:rPr>
          <w:rFonts w:ascii="Arial Narrow" w:hAnsi="Arial Narrow" w:eastAsia="Arial Narrow"/>
          <w:b/>
          <w:i w:val="0"/>
          <w:sz w:val="24"/>
        </w:rPr>
        <w:t>3. DA JUSTIÇA GRATUITA E DA PRIORIDADE DE TRAMITAÇÃO</w:t>
      </w:r>
    </w:p>
    <w:p>
      <w:pPr>
        <w:pBdr>
          <w:top w:val="single" w:sz="4" w:space="6" w:color="C9D3E3"/>
          <w:left w:val="single" w:sz="24" w:space="8" w:color="1F3864"/>
          <w:bottom w:val="single" w:sz="4" w:space="6" w:color="C9D3E3"/>
          <w:right w:val="single" w:sz="4" w:space="6" w:color="C9D3E3"/>
        </w:pBdr>
        <w:shd w:val="clear" w:color="auto" w:fill="EEF2F7"/>
        <w:spacing w:before="0" w:after="28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A Autora vive exclusivamente de pensão por morte de R$ 2.245,42, abaixo do parâmetro de R$ 5.000,00 fixado pelo STF na ADC 80, e tem 77 anos de idade.</w:t>
      </w:r>
    </w:p>
    <w:p>
      <w:pPr>
        <w:spacing w:before="0" w:after="240" w:lineRule="auto" w:line="276"/>
        <w:ind w:firstLine="2835" w:left="0" w:right="0"/>
        <w:jc w:val="both"/>
      </w:pPr>
      <w:r>
        <w:rPr>
          <w:sz w:val="24"/>
        </w:rPr>
      </w:r>
      <w:r>
        <w:rPr>
          <w:rFonts w:ascii="Arial Narrow" w:hAnsi="Arial Narrow" w:eastAsia="Arial Narrow"/>
          <w:b w:val="0"/>
          <w:i w:val="0"/>
          <w:sz w:val="24"/>
        </w:rPr>
        <w:t>Antes de adentrarmos no mérito da presente ação, a Autora solicita a concessão da justiça gratuita por ser pobre no sentido jurídico do vocábulo, não possuindo condições de demandar em juízo sem sacrifício do próprio sustento, direito assegurado pelo artigo 5º, inciso LXXIV, da Carta Magna, segundo o qual "o Estado prestará assistência jurídica integral e gratuita aos que comprovarem insuficiência de recursos".</w:t>
      </w:r>
    </w:p>
    <w:p>
      <w:pPr>
        <w:spacing w:before="0" w:after="240" w:lineRule="auto" w:line="276"/>
        <w:ind w:firstLine="2835" w:left="0" w:right="0"/>
        <w:jc w:val="both"/>
      </w:pPr>
      <w:r>
        <w:rPr>
          <w:sz w:val="24"/>
        </w:rPr>
      </w:r>
      <w:r>
        <w:rPr>
          <w:rFonts w:ascii="Arial Narrow" w:hAnsi="Arial Narrow" w:eastAsia="Arial Narrow"/>
          <w:b w:val="0"/>
          <w:i w:val="0"/>
          <w:sz w:val="24"/>
        </w:rPr>
        <w:t>A benesse vem disciplinada pela Lei 13.105/2015, Código de Processo Civil, em seus artigos 98 a 102. A Autora comprovadamente cumpre os requisitos elencados, com os seguintes documentos anexos aos autos: declaração de hipossuficiência, extrato de informações do benefício e histórico de créditos do INSS e extrato bancário dos últimos 90 dias.</w:t>
      </w:r>
    </w:p>
    <w:p>
      <w:pPr>
        <w:spacing w:before="0" w:after="240" w:lineRule="auto" w:line="276"/>
        <w:ind w:firstLine="2835" w:left="0" w:right="0"/>
        <w:jc w:val="both"/>
      </w:pPr>
      <w:r>
        <w:rPr>
          <w:sz w:val="24"/>
        </w:rPr>
      </w:r>
      <w:r>
        <w:rPr>
          <w:rFonts w:ascii="Arial Narrow" w:hAnsi="Arial Narrow" w:eastAsia="Arial Narrow"/>
          <w:b w:val="0"/>
          <w:i w:val="0"/>
          <w:sz w:val="24"/>
        </w:rPr>
        <w:t>Tais documentos demonstram que a única renda da Autora é a pensão por morte (NB 108.700.145-2), no valor bruto de R$ 2.245,42, da qual é descontado empréstimo consignado de R$ 734,55, restando-lhe, na competência de setembro de 2026, o crédito líquido de R$ 1.510,87.</w:t>
      </w:r>
    </w:p>
    <w:p>
      <w:pPr>
        <w:spacing w:before="0" w:after="240" w:lineRule="auto" w:line="276"/>
        <w:ind w:firstLine="2835" w:left="0" w:right="0"/>
        <w:jc w:val="both"/>
      </w:pPr>
      <w:r>
        <w:rPr>
          <w:sz w:val="24"/>
        </w:rPr>
      </w:r>
      <w:r>
        <w:rPr>
          <w:rFonts w:ascii="Arial Narrow" w:hAnsi="Arial Narrow" w:eastAsia="Arial Narrow"/>
          <w:b w:val="0"/>
          <w:i w:val="0"/>
          <w:sz w:val="24"/>
        </w:rPr>
        <w:t>Além disso, o Supremo Tribunal Federal, no julgamento da ADC 80, concluído em 03/09/2026, fixou parâmetro objetivo para a concessão do benefício, estendido a todos os ramos do Poder Judiciário, nos seguintes termos, conforme a tese divulgada:</w:t>
      </w:r>
    </w:p>
    <w:p>
      <w:pPr>
        <w:spacing w:before="0" w:after="240" w:lineRule="auto" w:line="276"/>
        <w:ind w:firstLine="0" w:left="2835" w:right="0"/>
        <w:jc w:val="both"/>
      </w:pPr>
      <w:r>
        <w:rPr>
          <w:sz w:val="24"/>
        </w:rPr>
      </w:r>
      <w:r>
        <w:rPr>
          <w:rFonts w:ascii="Arial Narrow" w:hAnsi="Arial Narrow" w:eastAsia="Arial Narrow"/>
          <w:b w:val="0"/>
          <w:i/>
          <w:sz w:val="22"/>
        </w:rPr>
        <w:t>Até nova legislação, haverá presunção relativa de insuficiência de recursos para quem recebe salário igual ou inferior a R$ 5 mil. Atualizações desse valor na legislação do Imposto de Renda serão automaticamente refletidas no parâmetro; se não houver atualização anual, o montante será corrigido pelo IPCA;</w:t>
      </w:r>
    </w:p>
    <w:p>
      <w:pPr>
        <w:spacing w:before="0" w:after="240" w:lineRule="auto" w:line="276"/>
        <w:ind w:firstLine="0" w:left="2835" w:right="0"/>
        <w:jc w:val="both"/>
      </w:pPr>
      <w:r>
        <w:rPr>
          <w:sz w:val="24"/>
        </w:rPr>
      </w:r>
      <w:r>
        <w:rPr>
          <w:rFonts w:ascii="Arial Narrow" w:hAnsi="Arial Narrow" w:eastAsia="Arial Narrow"/>
          <w:b w:val="0"/>
          <w:i/>
          <w:sz w:val="22"/>
        </w:rPr>
        <w:t>As regras deverão ser aplicadas a todos os ramos do Poder Judiciário, e não apenas à Justiça do Trabalho, até adequação legislativa;</w:t>
      </w:r>
    </w:p>
    <w:p>
      <w:pPr>
        <w:spacing w:before="0" w:after="240" w:lineRule="auto" w:line="276"/>
        <w:ind w:firstLine="2835" w:left="0" w:right="0"/>
        <w:jc w:val="both"/>
      </w:pPr>
      <w:r>
        <w:rPr>
          <w:sz w:val="24"/>
        </w:rPr>
      </w:r>
      <w:r>
        <w:rPr>
          <w:rFonts w:ascii="Arial Narrow" w:hAnsi="Arial Narrow" w:eastAsia="Arial Narrow"/>
          <w:b w:val="0"/>
          <w:i w:val="0"/>
          <w:sz w:val="24"/>
        </w:rPr>
        <w:t>A renda da Autora corresponde a menos da metade do parâmetro fixado pela Suprema Corte, de modo que milita em seu favor a presunção de insuficiência de recursos, reforçada pelo art. 99, § 3º, do Código de Processo Civil, segundo o qual "presume-se verdadeira a alegação de insuficiência deduzida exclusivamente por pessoa natural". A Autora não possui patrimônio ou renda familiar incompatível com essa presunção, vivendo exclusivamente de sua pensão.</w:t>
      </w:r>
    </w:p>
    <w:p>
      <w:pPr>
        <w:spacing w:before="0" w:after="240" w:lineRule="auto" w:line="276"/>
        <w:ind w:firstLine="2835" w:left="0" w:right="0"/>
        <w:jc w:val="both"/>
      </w:pPr>
      <w:r>
        <w:rPr>
          <w:sz w:val="24"/>
        </w:rPr>
      </w:r>
      <w:r>
        <w:rPr>
          <w:rFonts w:ascii="Arial Narrow" w:hAnsi="Arial Narrow" w:eastAsia="Arial Narrow"/>
          <w:b w:val="0"/>
          <w:i w:val="0"/>
          <w:sz w:val="24"/>
        </w:rPr>
        <w:t>Salienta-se, por oportuno, que o simples fato de a Autora estar representada por advogado particular não constitui condição para o indeferimento dos benefícios da justiça gratuita, questão sanada pelo § 4º do artigo 99 do Código de Processo Civil.</w:t>
      </w:r>
    </w:p>
    <w:p>
      <w:pPr>
        <w:spacing w:before="0" w:after="240" w:lineRule="auto" w:line="276"/>
        <w:ind w:firstLine="2835" w:left="0" w:right="0"/>
        <w:jc w:val="both"/>
      </w:pPr>
      <w:r>
        <w:rPr>
          <w:sz w:val="24"/>
        </w:rPr>
      </w:r>
      <w:r>
        <w:rPr>
          <w:rFonts w:ascii="Arial Narrow" w:hAnsi="Arial Narrow" w:eastAsia="Arial Narrow"/>
          <w:b w:val="0"/>
          <w:i w:val="0"/>
          <w:sz w:val="24"/>
        </w:rPr>
        <w:t>A Autora conta, ainda, com 77 anos de idade (nascida em 17/12/1948), o que lhe assegura prioridade de tramitação, nos termos do art. 1.048, I, do Código de Processo Civil.</w:t>
      </w:r>
    </w:p>
    <w:p>
      <w:pPr>
        <w:spacing w:before="0" w:after="240" w:lineRule="auto" w:line="276"/>
        <w:ind w:firstLine="2835" w:left="0" w:right="0"/>
        <w:jc w:val="both"/>
      </w:pPr>
      <w:r>
        <w:rPr>
          <w:sz w:val="24"/>
        </w:rPr>
      </w:r>
      <w:r>
        <w:rPr>
          <w:rFonts w:ascii="Arial Narrow" w:hAnsi="Arial Narrow" w:eastAsia="Arial Narrow"/>
          <w:b w:val="0"/>
          <w:i w:val="0"/>
          <w:sz w:val="24"/>
        </w:rPr>
        <w:t>Diante do exposto, requer, desde logo, o deferimento dos benefícios da JUSTIÇA GRATUITA à Autora, por preencher os requisitos legais e o parâmetro fixado pelo Supremo Tribunal Federal na ADC 80, bem como a anotação da PRIORIDADE DE TRAMITAÇÃO.</w:t>
      </w:r>
    </w:p>
    <w:p>
      <w:pPr>
        <w:spacing w:before="240" w:after="240" w:lineRule="auto" w:line="276"/>
        <w:ind w:firstLine="0" w:left="2835" w:right="0"/>
        <w:jc w:val="both"/>
      </w:pPr>
      <w:r>
        <w:rPr>
          <w:sz w:val="24"/>
        </w:rPr>
      </w:r>
      <w:r>
        <w:rPr>
          <w:rFonts w:ascii="Arial Narrow" w:hAnsi="Arial Narrow" w:eastAsia="Arial Narrow"/>
          <w:b/>
          <w:i w:val="0"/>
          <w:sz w:val="24"/>
        </w:rPr>
        <w:t>4. DA RELAÇÃO DE CONSUMO E INVERSÃO DO ÔNUS DA PROVA</w:t>
      </w:r>
    </w:p>
    <w:p>
      <w:pPr>
        <w:pBdr>
          <w:top w:val="single" w:sz="4" w:space="6" w:color="C9D3E3"/>
          <w:left w:val="single" w:sz="24" w:space="8" w:color="1F3864"/>
          <w:bottom w:val="single" w:sz="4" w:space="6" w:color="C9D3E3"/>
          <w:right w:val="single" w:sz="4" w:space="6" w:color="C9D3E3"/>
        </w:pBdr>
        <w:shd w:val="clear" w:color="auto" w:fill="EEF2F7"/>
        <w:spacing w:before="0" w:after="28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Fabricante, loja e seguradora são fornecedoras e a Autora é consumidora final idosa e hipossuficiente, o que impõe a inversão do ônus da prova (art. 6º, VIII, do CDC).</w:t>
      </w:r>
    </w:p>
    <w:p>
      <w:pPr>
        <w:spacing w:before="0" w:after="240" w:lineRule="auto" w:line="276"/>
        <w:ind w:firstLine="2835" w:left="0" w:right="0"/>
        <w:jc w:val="both"/>
      </w:pPr>
      <w:r>
        <w:rPr>
          <w:sz w:val="24"/>
        </w:rPr>
      </w:r>
      <w:r>
        <w:rPr>
          <w:rFonts w:ascii="Arial Narrow" w:hAnsi="Arial Narrow" w:eastAsia="Arial Narrow"/>
          <w:b w:val="0"/>
          <w:i w:val="0"/>
          <w:sz w:val="24"/>
        </w:rPr>
        <w:t>Nos ditames dos arts. 2º e 3º do Código de Defesa do Consumidor, é notório que a relação jurídica existente entre as partes é de consumo. A Autora é destinatária final do refrigerador e do seguro, e as Rés são fornecedoras que integram a mesma cadeia de fornecimento.</w:t>
      </w:r>
    </w:p>
    <w:p>
      <w:pPr>
        <w:spacing w:before="0" w:after="240" w:lineRule="auto" w:line="276"/>
        <w:ind w:firstLine="2835" w:left="0" w:right="0"/>
        <w:jc w:val="both"/>
      </w:pPr>
      <w:r>
        <w:rPr>
          <w:sz w:val="24"/>
        </w:rPr>
      </w:r>
      <w:r>
        <w:rPr>
          <w:rFonts w:ascii="Arial Narrow" w:hAnsi="Arial Narrow" w:eastAsia="Arial Narrow"/>
          <w:b w:val="0"/>
          <w:i w:val="0"/>
          <w:sz w:val="24"/>
        </w:rPr>
        <w:t>Quanto à terceira Ré, o § 2º do art. 3º do CDC é expresso ao definir como serviço qualquer atividade fornecida no mercado de consumo, mediante remuneração, "inclusive as de natureza bancária, financeira, de crédito e securitária".</w:t>
      </w:r>
    </w:p>
    <w:p>
      <w:pPr>
        <w:spacing w:before="0" w:after="240" w:lineRule="auto" w:line="276"/>
        <w:ind w:firstLine="2835" w:left="0" w:right="0"/>
        <w:jc w:val="both"/>
      </w:pPr>
      <w:r>
        <w:rPr>
          <w:sz w:val="24"/>
        </w:rPr>
      </w:r>
      <w:r>
        <w:rPr>
          <w:rFonts w:ascii="Arial Narrow" w:hAnsi="Arial Narrow" w:eastAsia="Arial Narrow"/>
          <w:b w:val="0"/>
          <w:i w:val="0"/>
          <w:sz w:val="24"/>
        </w:rPr>
        <w:t>No que concerne à matéria probatória, segundo a regra geral estabelecida pelo art. 373, I e II, do Código de Processo Civil, cabe ao autor o ônus de provar os fatos constitutivos de seu direito.</w:t>
      </w:r>
    </w:p>
    <w:p>
      <w:pPr>
        <w:spacing w:before="0" w:after="240" w:lineRule="auto" w:line="276"/>
        <w:ind w:firstLine="2835" w:left="0" w:right="0"/>
        <w:jc w:val="both"/>
      </w:pPr>
      <w:r>
        <w:rPr>
          <w:sz w:val="24"/>
        </w:rPr>
      </w:r>
      <w:r>
        <w:rPr>
          <w:rFonts w:ascii="Arial Narrow" w:hAnsi="Arial Narrow" w:eastAsia="Arial Narrow"/>
          <w:b w:val="0"/>
          <w:i w:val="0"/>
          <w:sz w:val="24"/>
        </w:rPr>
        <w:t>Entretanto, tratando-se de vício de qualidade em produto fabricado, comercializado e segurado pelas Rés, observa-se que, no presente caso, o ônus de demonstrar eventual mau uso ou causa externa da oxidação recai sobre as fornecedoras, sendo clara hipótese de inversão do ônus da prova, diante da verossimilhança das alegações da Autora e de sua indubitável posição de hipossuficiência frente a três grandes empresas.</w:t>
      </w:r>
    </w:p>
    <w:p>
      <w:pPr>
        <w:spacing w:before="0" w:after="240" w:lineRule="auto" w:line="276"/>
        <w:ind w:firstLine="2835" w:left="0" w:right="0"/>
        <w:jc w:val="both"/>
      </w:pPr>
      <w:r>
        <w:rPr>
          <w:sz w:val="24"/>
        </w:rPr>
      </w:r>
      <w:r>
        <w:rPr>
          <w:rFonts w:ascii="Arial Narrow" w:hAnsi="Arial Narrow" w:eastAsia="Arial Narrow"/>
          <w:b w:val="0"/>
          <w:i w:val="0"/>
          <w:sz w:val="24"/>
        </w:rPr>
        <w:t>Ademais, o Código de Defesa do Consumidor faculta ao magistrado determinar a inversão do ônus da prova em favor do consumidor, conforme seu artigo 6º, VIII:</w:t>
      </w:r>
    </w:p>
    <w:p>
      <w:pPr>
        <w:spacing w:before="0" w:after="240" w:lineRule="auto" w:line="276"/>
        <w:ind w:firstLine="0" w:left="2835" w:right="0"/>
        <w:jc w:val="both"/>
      </w:pPr>
      <w:r>
        <w:rPr>
          <w:sz w:val="24"/>
        </w:rPr>
      </w:r>
      <w:r>
        <w:rPr>
          <w:rFonts w:ascii="Arial Narrow" w:hAnsi="Arial Narrow" w:eastAsia="Arial Narrow"/>
          <w:b w:val="0"/>
          <w:i/>
          <w:sz w:val="22"/>
        </w:rPr>
        <w:t>Art. 6º São direitos básicos do consumidor:</w:t>
      </w:r>
    </w:p>
    <w:p>
      <w:pPr>
        <w:spacing w:before="0" w:after="240" w:lineRule="auto" w:line="276"/>
        <w:ind w:firstLine="0" w:left="2835" w:right="0"/>
        <w:jc w:val="both"/>
      </w:pPr>
      <w:r>
        <w:rPr>
          <w:sz w:val="24"/>
        </w:rPr>
      </w:r>
      <w:r>
        <w:rPr>
          <w:rFonts w:ascii="Arial Narrow" w:hAnsi="Arial Narrow" w:eastAsia="Arial Narrow"/>
          <w:b w:val="0"/>
          <w:i/>
          <w:sz w:val="22"/>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pPr>
        <w:spacing w:before="0" w:after="240" w:lineRule="auto" w:line="276"/>
        <w:ind w:firstLine="2835" w:left="0" w:right="0"/>
        <w:jc w:val="both"/>
      </w:pPr>
      <w:r>
        <w:rPr>
          <w:sz w:val="24"/>
        </w:rPr>
      </w:r>
      <w:r>
        <w:rPr>
          <w:rFonts w:ascii="Arial Narrow" w:hAnsi="Arial Narrow" w:eastAsia="Arial Narrow"/>
          <w:b w:val="0"/>
          <w:i w:val="0"/>
          <w:sz w:val="24"/>
        </w:rPr>
        <w:t>Da simples leitura deste dispositivo legal, verifica-se, sem maior esforço, ter o legislador conferido ao juiz a inversão do ônus da prova quando presente o requisito da verossimilhança das alegações ou quando o consumidor for hipossuficiente. No caso, ambos estão presentes: a verossimilhança decorre da nota fiscal, do bilhete do seguro, do registro do sinistro e das fotografias do produto, e a hipossuficiência é técnica e econômica, tratando-se de consumidora idosa e pensionista.</w:t>
      </w:r>
    </w:p>
    <w:p>
      <w:pPr>
        <w:spacing w:before="0" w:after="240" w:lineRule="auto" w:line="276"/>
        <w:ind w:firstLine="2835" w:left="0" w:right="0"/>
        <w:jc w:val="both"/>
      </w:pPr>
      <w:r>
        <w:rPr>
          <w:sz w:val="24"/>
        </w:rPr>
      </w:r>
      <w:r>
        <w:rPr>
          <w:rFonts w:ascii="Arial Narrow" w:hAnsi="Arial Narrow" w:eastAsia="Arial Narrow"/>
          <w:b w:val="0"/>
          <w:i w:val="0"/>
          <w:sz w:val="24"/>
        </w:rPr>
        <w:t>Deste modo, competiria às Rés demonstrar a inexistência do vício ou a sua causa externa, bem como apresentar o relatório da vistoria realizada na residência da Autora, documento que se encontra exclusivamente em poder da terceira Ré.</w:t>
      </w:r>
    </w:p>
    <w:p>
      <w:pPr>
        <w:spacing w:before="0" w:after="240" w:lineRule="auto" w:line="276"/>
        <w:ind w:firstLine="2835" w:left="0" w:right="0"/>
        <w:jc w:val="both"/>
      </w:pPr>
      <w:r>
        <w:rPr>
          <w:sz w:val="24"/>
        </w:rPr>
      </w:r>
      <w:r>
        <w:rPr>
          <w:rFonts w:ascii="Arial Narrow" w:hAnsi="Arial Narrow" w:eastAsia="Arial Narrow"/>
          <w:b w:val="0"/>
          <w:i w:val="0"/>
          <w:sz w:val="24"/>
        </w:rPr>
        <w:t>Assim, requer o reconhecimento da presente RELAÇÃO DE CONSUMO, bem como o deferimento da INVERSÃO DO ÔNUS DA PROVA, diante da verossimilhança do direito alegado e da hipossuficiência da Autora no presente caso.</w:t>
      </w:r>
    </w:p>
    <w:p>
      <w:pPr>
        <w:spacing w:before="240" w:after="240" w:lineRule="auto" w:line="276"/>
        <w:ind w:firstLine="0" w:left="2835" w:right="0"/>
        <w:jc w:val="both"/>
      </w:pPr>
      <w:r>
        <w:rPr>
          <w:sz w:val="24"/>
        </w:rPr>
      </w:r>
      <w:r>
        <w:rPr>
          <w:rFonts w:ascii="Arial Narrow" w:hAnsi="Arial Narrow" w:eastAsia="Arial Narrow"/>
          <w:b/>
          <w:i w:val="0"/>
          <w:sz w:val="24"/>
        </w:rPr>
        <w:t>5. DA LEGITIMIDADE PASSIVA E DA RESPONSABILIDADE SOLIDÁRIA DAS RÉS</w:t>
      </w:r>
    </w:p>
    <w:p>
      <w:pPr>
        <w:pBdr>
          <w:top w:val="single" w:sz="4" w:space="6" w:color="C9D3E3"/>
          <w:left w:val="single" w:sz="24" w:space="8" w:color="1F3864"/>
          <w:bottom w:val="single" w:sz="4" w:space="6" w:color="C9D3E3"/>
          <w:right w:val="single" w:sz="4" w:space="6" w:color="C9D3E3"/>
        </w:pBdr>
        <w:shd w:val="clear" w:color="auto" w:fill="EEF2F7"/>
        <w:spacing w:before="0" w:after="28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Fabricante, comerciante e seguradora integram a mesma cadeia de fornecimento e respondem solidariamente pelo vício (arts. 7º, parágrafo único, 18, 25, § 1º, e 34 do CDC), como já reconheceu o TJPR em caso idêntico.</w:t>
      </w:r>
    </w:p>
    <w:p>
      <w:pPr>
        <w:spacing w:before="0" w:after="240" w:lineRule="auto" w:line="276"/>
        <w:ind w:firstLine="2835" w:left="0" w:right="0"/>
        <w:jc w:val="both"/>
      </w:pPr>
      <w:r>
        <w:rPr>
          <w:sz w:val="24"/>
        </w:rPr>
      </w:r>
      <w:r>
        <w:rPr>
          <w:rFonts w:ascii="Arial Narrow" w:hAnsi="Arial Narrow" w:eastAsia="Arial Narrow"/>
          <w:b w:val="0"/>
          <w:i w:val="0"/>
          <w:sz w:val="24"/>
        </w:rPr>
        <w:t>As três Rés integram a mesma cadeia de fornecimento. A primeira fabricou o produto, a segunda o vendeu e, ao mesmo tempo, comercializou o seguro como representante exclusiva da seguradora, e a terceira assumiu, mediante remuneração, a obrigação de reparar, substituir ou indenizar o bem em caso de vício.</w:t>
      </w:r>
    </w:p>
    <w:p>
      <w:pPr>
        <w:spacing w:before="0" w:after="240" w:lineRule="auto" w:line="276"/>
        <w:ind w:firstLine="2835" w:left="0" w:right="0"/>
        <w:jc w:val="both"/>
      </w:pPr>
      <w:r>
        <w:rPr>
          <w:sz w:val="24"/>
        </w:rPr>
      </w:r>
      <w:r>
        <w:rPr>
          <w:rFonts w:ascii="Arial Narrow" w:hAnsi="Arial Narrow" w:eastAsia="Arial Narrow"/>
          <w:b w:val="0"/>
          <w:i w:val="0"/>
          <w:sz w:val="24"/>
        </w:rPr>
        <w:t>Pelo vício de qualidade, o art. 18 do CDC estabelece a responsabilidade solidária de todos os fornecedores, sem distinguir fabricante e comerciante. A solidariedade se estende a todos os que concorreram para o dano, nos termos do art. 7º, parágrafo único ("Tendo mais de um autor a ofensa, todos responderão solidariamente pela reparação dos danos previstos nas normas de consumo.") e do art. 25, § 1º, do CDC. Quanto à segunda Ré, incide ainda o art. 34 do mesmo Código, segundo o qual "o fornecedor do produto ou serviço é solidariamente responsável pelos atos de seus prepostos ou representantes autônomos".</w:t>
      </w:r>
    </w:p>
    <w:p>
      <w:pPr>
        <w:spacing w:before="0" w:after="240" w:lineRule="auto" w:line="276"/>
        <w:ind w:firstLine="2835" w:left="0" w:right="0"/>
        <w:jc w:val="both"/>
      </w:pPr>
      <w:r>
        <w:rPr>
          <w:sz w:val="24"/>
        </w:rPr>
      </w:r>
      <w:r>
        <w:rPr>
          <w:rFonts w:ascii="Arial Narrow" w:hAnsi="Arial Narrow" w:eastAsia="Arial Narrow"/>
          <w:b w:val="0"/>
          <w:i w:val="0"/>
          <w:sz w:val="24"/>
        </w:rPr>
        <w:t>O Tribunal de Justiça do Estado do Paraná reconhece a solidariedade entre loja, fabricante e seguradora em caso idêntico, de refrigerador com ferrugem coberto por garantia estendida:</w:t>
      </w:r>
    </w:p>
    <w:p>
      <w:pPr>
        <w:spacing w:before="0" w:after="240" w:lineRule="auto" w:line="276"/>
        <w:ind w:firstLine="0" w:left="2835" w:right="0"/>
        <w:jc w:val="both"/>
      </w:pPr>
      <w:r>
        <w:rPr>
          <w:sz w:val="24"/>
        </w:rPr>
      </w:r>
      <w:r>
        <w:rPr>
          <w:rFonts w:ascii="Arial Narrow" w:hAnsi="Arial Narrow" w:eastAsia="Arial Narrow"/>
          <w:b w:val="0"/>
          <w:i/>
          <w:sz w:val="22"/>
        </w:rPr>
        <w:t>EMENTA: RECURSO INOMINADO. SEGURO DE APARELHOS ELETROELETRÔNICOS. GARANTIA ESTENDIDA. CERCEAMENTO DE DEFESA NÃO VERIFICADO. DECADÊNCIA AFASTADA. INEXISTÊNCIA DE PROVA DA DATA DA NEGATIVA DE ASSISTÊNCIA PELAS RÉS. RESPONSABILIDADE SOLIDÁRIA DAS RÉS RECONHECIDA. CLÁUSULAS LIMITADORAS DE DIREITO. FALHA NO DEVER DE INFORMAÇÃO. COBERTURA SECURITÁRIA DEVIDA. DANOS MORAIS NÃO CONFIGURADOS. MERO INADIMPLEMENTO CONTRATUAL. RECURSO PARCIALMENTE PROVIDO. (...)</w:t>
      </w:r>
    </w:p>
    <w:p>
      <w:pPr>
        <w:spacing w:before="0" w:after="240" w:lineRule="auto" w:line="276"/>
        <w:ind w:firstLine="0" w:left="2835" w:right="0"/>
        <w:jc w:val="both"/>
      </w:pPr>
      <w:r>
        <w:rPr>
          <w:sz w:val="24"/>
        </w:rPr>
      </w:r>
      <w:r>
        <w:rPr>
          <w:rFonts w:ascii="Arial Narrow" w:hAnsi="Arial Narrow" w:eastAsia="Arial Narrow"/>
          <w:b w:val="0"/>
          <w:i/>
          <w:sz w:val="22"/>
        </w:rPr>
        <w:t>2. É incontroverso que o vício no eletrodoméstico foi verificado em data anterior à realização do laudo, restando comprovado que o laudo técnico foi realizado em 18.03.2016. A reclamação administrativa suspende o prazo de 90 dias previsto no art. 26, II do CDC até a data de sua negativa. Não havendo nos autos prova da data da negativa de assistência das rés, não há como estabelecer a data de retomada da contagem do prazo decadencial. Daí por que deve ser reformada a sentença neste ponto para afastar a declaração de decadência em relação à ré .Whirlpool S/A</w:t>
      </w:r>
    </w:p>
    <w:p>
      <w:pPr>
        <w:spacing w:before="0" w:after="240" w:lineRule="auto" w:line="276"/>
        <w:ind w:firstLine="0" w:left="2835" w:right="0"/>
        <w:jc w:val="both"/>
      </w:pPr>
      <w:r>
        <w:rPr>
          <w:sz w:val="24"/>
        </w:rPr>
      </w:r>
      <w:r>
        <w:rPr>
          <w:rFonts w:ascii="Arial Narrow" w:hAnsi="Arial Narrow" w:eastAsia="Arial Narrow"/>
          <w:b w:val="0"/>
          <w:i/>
          <w:sz w:val="22"/>
        </w:rPr>
        <w:t>3. O STJ possui o entendimento pacífico de que, uma vez verificado que a parte demandada integrou a cadeia de fornecimento, "(...) cuja composição não necessita ser exclusivamente de produto ou de serviços, podendo ser verificada uma composição mista de ambos, dentro de uma mesma atividade econômica", configura-se sua responsabilidade objetiva e solidária com os demais integrantes da cadeia de fornecimento, conforme arts. 7º, parágrafo único, 20 e 25 do CDC. (REsp 1574784/RJ, Rel. Ministra NANCY ANDRIGHI, TERCEIRA TURMA, julgado em 19/06/2018, DJe 25/06/2018)</w:t>
      </w:r>
    </w:p>
    <w:p>
      <w:pPr>
        <w:spacing w:before="0" w:after="240" w:lineRule="auto" w:line="276"/>
        <w:ind w:firstLine="0" w:left="2835" w:right="0"/>
        <w:jc w:val="both"/>
      </w:pPr>
      <w:r>
        <w:rPr>
          <w:sz w:val="24"/>
        </w:rPr>
      </w:r>
      <w:r>
        <w:rPr>
          <w:rFonts w:ascii="Arial Narrow" w:hAnsi="Arial Narrow" w:eastAsia="Arial Narrow"/>
          <w:b w:val="0"/>
          <w:i/>
          <w:sz w:val="22"/>
        </w:rPr>
        <w:t>4. Verifica-se a ocorrência de falha no dever de informação na contratação da garantia estendida, tendo em vista que o documento de mov. 1.6 não especifica a exclusão de cobertura para danos decorrentes da deterioração natural do produto (ferrugem). Ademais, o réu não se desincumbiu do ônus de comprovar o envio das condições gerais da garantia, em que consta a cláusula limitadora do direito da autora. Ausente a ciência acerca do risco excluído, necessária é a cobertura dos danos sofridos, independentemente de sua natureza.</w:t>
      </w:r>
    </w:p>
    <w:p>
      <w:pPr>
        <w:spacing w:before="0" w:after="240" w:lineRule="auto" w:line="276"/>
        <w:ind w:firstLine="0" w:left="2835" w:right="0"/>
        <w:jc w:val="both"/>
      </w:pPr>
      <w:r>
        <w:rPr>
          <w:sz w:val="24"/>
        </w:rPr>
      </w:r>
      <w:r>
        <w:rPr>
          <w:rFonts w:ascii="Arial Narrow" w:hAnsi="Arial Narrow" w:eastAsia="Arial Narrow"/>
          <w:b w:val="0"/>
          <w:i/>
          <w:sz w:val="22"/>
        </w:rPr>
        <w:t>5. Considerando a informação que o bem segurado (refrigerador) continua apresentando defeitos, faz jus a parte autora à devolução de seu valor, devendo este ser comprovado pela parte autora mediante a juntada da nota fiscal de compra na fase de cumprimento de sentença. (...)</w:t>
      </w:r>
    </w:p>
    <w:p>
      <w:pPr>
        <w:spacing w:before="0" w:after="240" w:lineRule="auto" w:line="276"/>
        <w:ind w:firstLine="0" w:left="2835" w:right="0"/>
        <w:jc w:val="both"/>
      </w:pPr>
      <w:r>
        <w:rPr>
          <w:sz w:val="24"/>
        </w:rPr>
      </w:r>
      <w:r>
        <w:rPr>
          <w:rFonts w:ascii="Arial Narrow" w:hAnsi="Arial Narrow" w:eastAsia="Arial Narrow"/>
          <w:b w:val="0"/>
          <w:i/>
          <w:sz w:val="22"/>
        </w:rPr>
        <w:t>(TJPR - 2ª Turma Recursal - 0003692-03.2017.8.16.0030 - Foz do Iguaçu - Rel.: JUIZ DE DIREITO DA TURMA RECURSAL DOS JUIZADOS ESPECIAIS ALVARO RODRIGUES JUNIOR - J. 22.08.2018)</w:t>
      </w:r>
    </w:p>
    <w:p>
      <w:pPr>
        <w:spacing w:before="0" w:after="240" w:lineRule="auto" w:line="276"/>
        <w:ind w:firstLine="2835" w:left="0" w:right="0"/>
        <w:jc w:val="both"/>
      </w:pPr>
      <w:r>
        <w:rPr>
          <w:sz w:val="24"/>
        </w:rPr>
      </w:r>
      <w:r>
        <w:rPr>
          <w:rFonts w:ascii="Arial Narrow" w:hAnsi="Arial Narrow" w:eastAsia="Arial Narrow"/>
          <w:b w:val="0"/>
          <w:i w:val="0"/>
          <w:sz w:val="24"/>
        </w:rPr>
        <w:t>A hipótese dos autos é a mesma: a fabricante colocou no mercado o produto viciado, a loja o vendeu e intermediou o seguro, recebendo a maior parte do prêmio, e a seguradora, após vistoriar o bem, simplesmente deixou de cumprir o contrato.</w:t>
      </w:r>
    </w:p>
    <w:p>
      <w:pPr>
        <w:spacing w:before="0" w:after="240" w:lineRule="auto" w:line="276"/>
        <w:ind w:firstLine="2835" w:left="0" w:right="0"/>
        <w:jc w:val="both"/>
      </w:pPr>
      <w:r>
        <w:rPr>
          <w:sz w:val="24"/>
        </w:rPr>
      </w:r>
      <w:r>
        <w:rPr>
          <w:rFonts w:ascii="Arial Narrow" w:hAnsi="Arial Narrow" w:eastAsia="Arial Narrow"/>
          <w:b w:val="0"/>
          <w:i w:val="0"/>
          <w:sz w:val="24"/>
        </w:rPr>
        <w:t>À vista do quanto exposto, as três Rés são partes legítimas e devem responder solidariamente pela restituição e pela reparação pretendidas.</w:t>
      </w:r>
    </w:p>
    <w:p>
      <w:pPr>
        <w:spacing w:before="240" w:after="240" w:lineRule="auto" w:line="276"/>
        <w:ind w:firstLine="0" w:left="2835" w:right="0"/>
        <w:jc w:val="both"/>
      </w:pPr>
      <w:r>
        <w:rPr>
          <w:sz w:val="24"/>
        </w:rPr>
      </w:r>
      <w:r>
        <w:rPr>
          <w:rFonts w:ascii="Arial Narrow" w:hAnsi="Arial Narrow" w:eastAsia="Arial Narrow"/>
          <w:b/>
          <w:i w:val="0"/>
          <w:sz w:val="24"/>
        </w:rPr>
        <w:t>6. DO VÍCIO DE QUALIDADE E DO DIREITO À RESTITUIÇÃO DA QUANTIA PAGA</w:t>
      </w:r>
    </w:p>
    <w:p>
      <w:pPr>
        <w:pBdr>
          <w:top w:val="single" w:sz="4" w:space="6" w:color="C9D3E3"/>
          <w:left w:val="single" w:sz="24" w:space="8" w:color="1F3864"/>
          <w:bottom w:val="single" w:sz="4" w:space="6" w:color="C9D3E3"/>
          <w:right w:val="single" w:sz="4" w:space="6" w:color="C9D3E3"/>
        </w:pBdr>
        <w:shd w:val="clear" w:color="auto" w:fill="EEF2F7"/>
        <w:spacing w:before="0" w:after="28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A oxidação precoce é vício de qualidade que frustra a vida útil do bem. Não sanado o vício e tratando-se de produto essencial, a Autora tem direito à restituição imediata da quantia paga, com a devolução do refrigerador às Rés (art. 18, §§ 1º e 3º, do CDC).</w:t>
      </w:r>
    </w:p>
    <w:p>
      <w:pPr>
        <w:spacing w:before="0" w:after="240" w:lineRule="auto" w:line="276"/>
        <w:ind w:firstLine="2835" w:left="0" w:right="0"/>
        <w:jc w:val="both"/>
      </w:pPr>
      <w:r>
        <w:rPr>
          <w:sz w:val="24"/>
        </w:rPr>
      </w:r>
      <w:r>
        <w:rPr>
          <w:rFonts w:ascii="Arial Narrow" w:hAnsi="Arial Narrow" w:eastAsia="Arial Narrow"/>
          <w:b w:val="0"/>
          <w:i w:val="0"/>
          <w:sz w:val="24"/>
        </w:rPr>
        <w:t>Um refrigerador é bem durável, cuja vida útil legitimamente esperada se mede em muitos anos. A oxidação da estrutura metálica do gabinete com menos de um ano de uso doméstico revela vício de fabricação, ligado à resistência dos materiais ou ao tratamento anticorrosivo da chapa, que compromete a durabilidade do aparelho e diminui o seu valor, hipótese expressamente abrangida pelo caput do art. 18 do CDC.</w:t>
      </w:r>
    </w:p>
    <w:p>
      <w:pPr>
        <w:spacing w:before="0" w:after="240" w:lineRule="auto" w:line="276"/>
        <w:ind w:firstLine="2835" w:left="0" w:right="0"/>
        <w:jc w:val="both"/>
      </w:pPr>
      <w:r>
        <w:rPr>
          <w:sz w:val="24"/>
        </w:rPr>
      </w:r>
      <w:r>
        <w:rPr>
          <w:rFonts w:ascii="Arial Narrow" w:hAnsi="Arial Narrow" w:eastAsia="Arial Narrow"/>
          <w:b w:val="0"/>
          <w:i w:val="0"/>
          <w:sz w:val="24"/>
        </w:rPr>
        <w:t>Como já decidiu o Superior Tribunal de Justiça, a responsabilidade do fornecedor pelo vício de fabricação deve ser examinada à luz da vida útil do bem, e a venda de bem durável que não alcança a vida útil legitimamente esperada configura defeito de adequação e quebra da boa-fé objetiva:</w:t>
      </w:r>
    </w:p>
    <w:p>
      <w:pPr>
        <w:spacing w:before="0" w:after="240" w:lineRule="auto" w:line="276"/>
        <w:ind w:firstLine="0" w:left="2835" w:right="0"/>
        <w:jc w:val="both"/>
      </w:pPr>
      <w:r>
        <w:rPr>
          <w:sz w:val="24"/>
        </w:rPr>
      </w:r>
      <w:r>
        <w:rPr>
          <w:rFonts w:ascii="Arial Narrow" w:hAnsi="Arial Narrow" w:eastAsia="Arial Narrow"/>
          <w:b w:val="0"/>
          <w:i/>
          <w:sz w:val="22"/>
        </w:rPr>
        <w:t>(...) 8. Com efeito, em se tratando de vício oculto não decorrente do desgaste natural gerado pela fruição ordinária do produto, mas da própria fabricação, e relativo a projeto, cálculo estrutural, resistência de materiais, entre outros, o prazo para reclamar pela reparação se inicia no momento em que ficar evidenciado o defeito, não obstante tenha isso ocorrido depois de expirado o prazo contratual de garantia, devendo ter-se sempre em vista o critério da vida útil do bem.</w:t>
      </w:r>
    </w:p>
    <w:p>
      <w:pPr>
        <w:spacing w:before="0" w:after="240" w:lineRule="auto" w:line="276"/>
        <w:ind w:firstLine="0" w:left="2835" w:right="0"/>
        <w:jc w:val="both"/>
      </w:pPr>
      <w:r>
        <w:rPr>
          <w:sz w:val="24"/>
        </w:rPr>
      </w:r>
      <w:r>
        <w:rPr>
          <w:rFonts w:ascii="Arial Narrow" w:hAnsi="Arial Narrow" w:eastAsia="Arial Narrow"/>
          <w:b w:val="0"/>
          <w:i/>
          <w:sz w:val="22"/>
        </w:rPr>
        <w:t>9. Ademais, independentemente de prazo contratual de garantia, a venda de um bem tido por durável com vida útil inferior àquela que legitimamente se esperava, além de configurar um defeito de adequação (art. 18 do CDC), evidencia uma quebra da boa-fé objetiva, que deve nortear as relações contratuais, sejam de consumo, sejam de direito comum. Constitui, em outras palavras, descumprimento do dever de informação e a não realização do próprio objeto do contrato, que era a compra de um bem cujo ciclo vital se esperava, de forma legítima e razoável, fosse mais longo. (...)</w:t>
      </w:r>
    </w:p>
    <w:p>
      <w:pPr>
        <w:spacing w:before="0" w:after="240" w:lineRule="auto" w:line="276"/>
        <w:ind w:firstLine="0" w:left="2835" w:right="0"/>
        <w:jc w:val="both"/>
      </w:pPr>
      <w:r>
        <w:rPr>
          <w:sz w:val="24"/>
        </w:rPr>
      </w:r>
      <w:r>
        <w:rPr>
          <w:rFonts w:ascii="Arial Narrow" w:hAnsi="Arial Narrow" w:eastAsia="Arial Narrow"/>
          <w:b w:val="0"/>
          <w:i/>
          <w:sz w:val="22"/>
        </w:rPr>
        <w:t>(REsp 984106/SC/Órgão Julgador: 4ª Turma/ Relator: Min. Luiz Felipe Salomão/j. 04/10/2012)</w:t>
      </w:r>
    </w:p>
    <w:p>
      <w:pPr>
        <w:spacing w:before="0" w:after="240" w:lineRule="auto" w:line="276"/>
        <w:ind w:firstLine="2835" w:left="0" w:right="0"/>
        <w:jc w:val="both"/>
      </w:pPr>
      <w:r>
        <w:rPr>
          <w:sz w:val="24"/>
        </w:rPr>
      </w:r>
      <w:r>
        <w:rPr>
          <w:rFonts w:ascii="Arial Narrow" w:hAnsi="Arial Narrow" w:eastAsia="Arial Narrow"/>
          <w:b w:val="0"/>
          <w:i w:val="0"/>
          <w:sz w:val="24"/>
        </w:rPr>
        <w:t>Não sanado o vício no prazo de trinta dias, o § 1º do mesmo art. 18 confere ao consumidor o direito de escolher a solução:</w:t>
      </w:r>
    </w:p>
    <w:p>
      <w:pPr>
        <w:spacing w:before="0" w:after="240" w:lineRule="auto" w:line="276"/>
        <w:ind w:firstLine="0" w:left="2835" w:right="0"/>
        <w:jc w:val="both"/>
      </w:pPr>
      <w:r>
        <w:rPr>
          <w:sz w:val="24"/>
        </w:rPr>
      </w:r>
      <w:r>
        <w:rPr>
          <w:rFonts w:ascii="Arial Narrow" w:hAnsi="Arial Narrow" w:eastAsia="Arial Narrow"/>
          <w:b w:val="0"/>
          <w:i/>
          <w:sz w:val="22"/>
        </w:rPr>
        <w:t>§ 1° Não sendo o vício sanado no prazo máximo de trinta dias, pode o consumidor exigir, alternativamente e à sua escolha:</w:t>
      </w:r>
    </w:p>
    <w:p>
      <w:pPr>
        <w:spacing w:before="0" w:after="240" w:lineRule="auto" w:line="276"/>
        <w:ind w:firstLine="0" w:left="2835" w:right="0"/>
        <w:jc w:val="both"/>
      </w:pPr>
      <w:r>
        <w:rPr>
          <w:sz w:val="24"/>
        </w:rPr>
      </w:r>
      <w:r>
        <w:rPr>
          <w:rFonts w:ascii="Arial Narrow" w:hAnsi="Arial Narrow" w:eastAsia="Arial Narrow"/>
          <w:b w:val="0"/>
          <w:i/>
          <w:sz w:val="22"/>
        </w:rPr>
        <w:t>I - a substituição do produto por outro da mesma espécie, em perfeitas condições de uso;</w:t>
      </w:r>
    </w:p>
    <w:p>
      <w:pPr>
        <w:spacing w:before="0" w:after="240" w:lineRule="auto" w:line="276"/>
        <w:ind w:firstLine="0" w:left="2835" w:right="0"/>
        <w:jc w:val="both"/>
      </w:pPr>
      <w:r>
        <w:rPr>
          <w:sz w:val="24"/>
        </w:rPr>
      </w:r>
      <w:r>
        <w:rPr>
          <w:rFonts w:ascii="Arial Narrow" w:hAnsi="Arial Narrow" w:eastAsia="Arial Narrow"/>
          <w:b w:val="0"/>
          <w:i/>
          <w:sz w:val="22"/>
        </w:rPr>
        <w:t>II - a restituição imediata da quantia paga, monetariamente atualizada, sem prejuízo de eventuais perdas e danos;</w:t>
      </w:r>
    </w:p>
    <w:p>
      <w:pPr>
        <w:spacing w:before="0" w:after="240" w:lineRule="auto" w:line="276"/>
        <w:ind w:firstLine="0" w:left="2835" w:right="0"/>
        <w:jc w:val="both"/>
      </w:pPr>
      <w:r>
        <w:rPr>
          <w:sz w:val="24"/>
        </w:rPr>
      </w:r>
      <w:r>
        <w:rPr>
          <w:rFonts w:ascii="Arial Narrow" w:hAnsi="Arial Narrow" w:eastAsia="Arial Narrow"/>
          <w:b w:val="0"/>
          <w:i/>
          <w:sz w:val="22"/>
        </w:rPr>
        <w:t>III - o abatimento proporcional do preço.</w:t>
      </w:r>
    </w:p>
    <w:p>
      <w:pPr>
        <w:spacing w:before="0" w:after="240" w:lineRule="auto" w:line="276"/>
        <w:ind w:firstLine="2835" w:left="0" w:right="0"/>
        <w:jc w:val="both"/>
      </w:pPr>
      <w:r>
        <w:rPr>
          <w:sz w:val="24"/>
        </w:rPr>
      </w:r>
      <w:r>
        <w:rPr>
          <w:rFonts w:ascii="Arial Narrow" w:hAnsi="Arial Narrow" w:eastAsia="Arial Narrow"/>
          <w:b w:val="0"/>
          <w:i w:val="0"/>
          <w:sz w:val="24"/>
        </w:rPr>
        <w:t>Tratando-se de produto essencial, como é o refrigerador, o consumidor pode inclusive fazer uso imediato dessas alternativas, conforme o § 3º do art. 18. No caso, contudo, nem sequer se trata de dispensar o prazo: decorreram mais de quatro meses desde a comunicação do sinistro sem que as Rés sanassem o vício, e a Autora opta pela restituição da quantia paga.</w:t>
      </w:r>
    </w:p>
    <w:p>
      <w:pPr>
        <w:spacing w:before="0" w:after="240" w:lineRule="auto" w:line="276"/>
        <w:ind w:firstLine="2835" w:left="0" w:right="0"/>
        <w:jc w:val="both"/>
      </w:pPr>
      <w:r>
        <w:rPr>
          <w:sz w:val="24"/>
        </w:rPr>
      </w:r>
      <w:r>
        <w:rPr>
          <w:rFonts w:ascii="Arial Narrow" w:hAnsi="Arial Narrow" w:eastAsia="Arial Narrow"/>
          <w:b w:val="0"/>
          <w:i w:val="0"/>
          <w:sz w:val="24"/>
        </w:rPr>
        <w:t>O Tribunal de Justiça do Estado do Paraná, em julgamento recente, aplicou exatamente o § 3º do art. 18 do CDC à geladeira, como bem essencial, e determinou a restituição integral do valor pago:</w:t>
      </w:r>
    </w:p>
    <w:p>
      <w:pPr>
        <w:spacing w:before="0" w:after="240" w:lineRule="auto" w:line="276"/>
        <w:ind w:firstLine="0" w:left="2835" w:right="0"/>
        <w:jc w:val="both"/>
      </w:pPr>
      <w:r>
        <w:rPr>
          <w:sz w:val="24"/>
        </w:rPr>
      </w:r>
      <w:r>
        <w:rPr>
          <w:rFonts w:ascii="Arial Narrow" w:hAnsi="Arial Narrow" w:eastAsia="Arial Narrow"/>
          <w:b w:val="0"/>
          <w:i/>
          <w:sz w:val="22"/>
        </w:rPr>
        <w:t>RECURSO INOMINADO. MATÉRIA RESIDUAL. AÇÃO DE INDENIZAÇÃO POR DANOS MORAIS C/C RESTITUIÇÃO DE VALORES. COMPRA DE REFRIGERADOR COM VÍCIO. SENTENÇA DE PARCIAL PROCEDÊNCIA. INSURGÊNCIA RECURSAL DA REQUERIDA. RELAÇÃO DE CONSUMO. INVERSÃO DO ÔNUS DA PROVA. AUTOR QUE APRESENTOU PROVAS MÍNIMAS DO VÍCIO E DA TENTATIVA DE SOLUÇÃO ADMINISTRATIVA. AUSÊNCIA DE PROVA DE CULPA EXCLUSIVA DO CONSUMIDOR. GELADEIRA. BEM ESSENCIAL. APLICAÇÃO DO ART. 18, § 3º, DO CDC. RESTITUIÇÃO INTEGRAL DEVIDA. DANO MORAL CONFIGURADO. DESCASO COM O CONSUMIDOR QUE ULTRAPASSA O MERO ABORRECIMENTO. QUANTUM FIXADO EM R$ 3.000,00 EM OBSERVÂNCIA À RAZOABILIDADE E PROPORCIONALIDADE. SENTENÇA MANTIDA POR SEUS PRÓPRIOS FUNDAMENTOS. RECURSO CONHECIDO E DESPROVIDO. (...)</w:t>
      </w:r>
    </w:p>
    <w:p>
      <w:pPr>
        <w:spacing w:before="0" w:after="240" w:lineRule="auto" w:line="276"/>
        <w:ind w:firstLine="0" w:left="2835" w:right="0"/>
        <w:jc w:val="both"/>
      </w:pPr>
      <w:r>
        <w:rPr>
          <w:sz w:val="24"/>
        </w:rPr>
      </w:r>
      <w:r>
        <w:rPr>
          <w:rFonts w:ascii="Arial Narrow" w:hAnsi="Arial Narrow" w:eastAsia="Arial Narrow"/>
          <w:b w:val="0"/>
          <w:i/>
          <w:sz w:val="22"/>
        </w:rPr>
        <w:t>(TJPR - 3ª Turma Recursal - 0001724-24.2025.8.16.0137 - Porecatu - Rel.: JUÍZA DE DIREITO SUBSTITUTO HELÊNIKA VALENTE DE SOUZA PINTO - J. 18.09.2026)</w:t>
      </w:r>
    </w:p>
    <w:p>
      <w:pPr>
        <w:spacing w:before="0" w:after="240" w:lineRule="auto" w:line="276"/>
        <w:ind w:firstLine="2835" w:left="0" w:right="0"/>
        <w:jc w:val="both"/>
      </w:pPr>
      <w:r>
        <w:rPr>
          <w:sz w:val="24"/>
        </w:rPr>
      </w:r>
      <w:r>
        <w:rPr>
          <w:rFonts w:ascii="Arial Narrow" w:hAnsi="Arial Narrow" w:eastAsia="Arial Narrow"/>
          <w:b w:val="0"/>
          <w:i w:val="0"/>
          <w:sz w:val="24"/>
        </w:rPr>
        <w:t>A mesma Corte, em caso no qual a seguradora Zurich, a loja e a fabricante Electrolux foram condenadas solidariamente a restituir o valor de refrigerador viciado, determinou que a consumidora disponibilizasse o produto para retirada por uma das rés em sua residência:</w:t>
      </w:r>
    </w:p>
    <w:p>
      <w:pPr>
        <w:spacing w:before="0" w:after="240" w:lineRule="auto" w:line="276"/>
        <w:ind w:firstLine="0" w:left="2835" w:right="0"/>
        <w:jc w:val="both"/>
      </w:pPr>
      <w:r>
        <w:rPr>
          <w:sz w:val="24"/>
        </w:rPr>
      </w:r>
      <w:r>
        <w:rPr>
          <w:rFonts w:ascii="Arial Narrow" w:hAnsi="Arial Narrow" w:eastAsia="Arial Narrow"/>
          <w:b w:val="0"/>
          <w:i/>
          <w:sz w:val="22"/>
        </w:rPr>
        <w:t>RECURSO INOMINADO. AÇÃO DE OBRIGAÇÃO DE FAZER C/C INDENIZAÇÃO POR DANOS MORAIS E MATERIAIS. VÍCIO NO PRODUTO. REFRIGERADOR. NEGATIVA DE SEGURO. AUSÊNCIA DE SOLUÇÃO ADMINISTRATIVA. FALHA NA PRESTAÇÃO DO SERVIÇO. RÉ QUE NÃO SE DESINCUMBIU DO SEU ÔNUS PROBATÓRIO. DANO MORAL CONFIGURADO. APLICAÇÃO DO ENUNCIADO N° 1 DA PRIMEIRA TURMA RECURSAL/PR. QUANTUM FIXADO EM R$ 3.000,00 (TRÊS MIL REAIS) QUE NÃO COMPORTA MINORAÇÃO. OBSERVÂNCIA AOS PRINCÍPIOS DA RAZOABILIDADE E PROPORCIONALIDADE, BEM COMO AOS PARÂMETROS DESTA TURMA RECURSAL. SENTENÇA MANTIDA POR SEUS PRÓPRIOS FUNDAMENTOS.Recurso conhecido e desprovido.</w:t>
      </w:r>
    </w:p>
    <w:p>
      <w:pPr>
        <w:spacing w:before="0" w:after="240" w:lineRule="auto" w:line="276"/>
        <w:ind w:firstLine="0" w:left="2835" w:right="0"/>
        <w:jc w:val="both"/>
      </w:pPr>
      <w:r>
        <w:rPr>
          <w:sz w:val="24"/>
        </w:rPr>
      </w:r>
      <w:r>
        <w:rPr>
          <w:rFonts w:ascii="Arial Narrow" w:hAnsi="Arial Narrow" w:eastAsia="Arial Narrow"/>
          <w:b w:val="0"/>
          <w:i/>
          <w:sz w:val="22"/>
        </w:rPr>
        <w:t>(TJPR - 1ª Turma Recursal - 0000795-25.2019.8.16.0129 - Paranaguá - Rel.: JUIZ DE DIREITO DA TURMA RECURSAL DOS JUIZADOS ESPECIAIS NESTARIO DA SILVA QUEIROZ - J. 14.12.2020)</w:t>
      </w:r>
    </w:p>
    <w:p>
      <w:pPr>
        <w:spacing w:before="0" w:after="240" w:lineRule="auto" w:line="276"/>
        <w:ind w:firstLine="2835" w:left="0" w:right="0"/>
        <w:jc w:val="both"/>
      </w:pPr>
      <w:r>
        <w:rPr>
          <w:sz w:val="24"/>
        </w:rPr>
      </w:r>
      <w:r>
        <w:rPr>
          <w:rFonts w:ascii="Arial Narrow" w:hAnsi="Arial Narrow" w:eastAsia="Arial Narrow"/>
          <w:b w:val="0"/>
          <w:i w:val="0"/>
          <w:sz w:val="24"/>
        </w:rPr>
        <w:t>A Autora coloca o refrigerador à disposição das Rés, para retirada em sua residência tão logo restituída a quantia paga, de modo a afastar qualquer alegação de enriquecimento sem causa.</w:t>
      </w:r>
    </w:p>
    <w:p>
      <w:pPr>
        <w:spacing w:before="0" w:after="240" w:lineRule="auto" w:line="276"/>
        <w:ind w:firstLine="2835" w:left="0" w:right="0"/>
        <w:jc w:val="both"/>
      </w:pPr>
      <w:r>
        <w:rPr>
          <w:sz w:val="24"/>
        </w:rPr>
      </w:r>
      <w:r>
        <w:rPr>
          <w:rFonts w:ascii="Arial Narrow" w:hAnsi="Arial Narrow" w:eastAsia="Arial Narrow"/>
          <w:b w:val="0"/>
          <w:i w:val="0"/>
          <w:sz w:val="24"/>
        </w:rPr>
        <w:t>Diante do exposto, faz jus a Autora à restituição imediata da quantia paga, de R$ 3.729,73, monetariamente atualizada desde o desembolso, com a retirada do produto pelas Rés.</w:t>
      </w:r>
    </w:p>
    <w:p>
      <w:pPr>
        <w:spacing w:before="240" w:after="240" w:lineRule="auto" w:line="276"/>
        <w:ind w:firstLine="0" w:left="2835" w:right="0"/>
        <w:jc w:val="both"/>
      </w:pPr>
      <w:r>
        <w:rPr>
          <w:sz w:val="24"/>
        </w:rPr>
      </w:r>
      <w:r>
        <w:rPr>
          <w:rFonts w:ascii="Arial Narrow" w:hAnsi="Arial Narrow" w:eastAsia="Arial Narrow"/>
          <w:b/>
          <w:i w:val="0"/>
          <w:sz w:val="24"/>
        </w:rPr>
        <w:t>7. DO DESCUMPRIMENTO DO SEGURO DE GARANTIA ESTENDIDA</w:t>
      </w:r>
    </w:p>
    <w:p>
      <w:pPr>
        <w:pBdr>
          <w:top w:val="single" w:sz="4" w:space="6" w:color="C9D3E3"/>
          <w:left w:val="single" w:sz="24" w:space="8" w:color="1F3864"/>
          <w:bottom w:val="single" w:sz="4" w:space="6" w:color="C9D3E3"/>
          <w:right w:val="single" w:sz="4" w:space="6" w:color="C9D3E3"/>
        </w:pBdr>
        <w:shd w:val="clear" w:color="auto" w:fill="EEF2F7"/>
        <w:spacing w:before="0" w:after="28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A seguradora vistoriou o bem e silenciou além do prazo de 30 dias previsto no próprio bilhete e no art. 86 da Lei 15.040/2024, o que impõe o cumprimento da opção de devolução do valor.</w:t>
      </w:r>
    </w:p>
    <w:p>
      <w:pPr>
        <w:spacing w:before="0" w:after="240" w:lineRule="auto" w:line="276"/>
        <w:ind w:firstLine="2835" w:left="0" w:right="0"/>
        <w:jc w:val="both"/>
      </w:pPr>
      <w:r>
        <w:rPr>
          <w:sz w:val="24"/>
        </w:rPr>
      </w:r>
      <w:r>
        <w:rPr>
          <w:rFonts w:ascii="Arial Narrow" w:hAnsi="Arial Narrow" w:eastAsia="Arial Narrow"/>
          <w:b w:val="0"/>
          <w:i w:val="0"/>
          <w:sz w:val="24"/>
        </w:rPr>
        <w:t>Além da responsabilidade legal pelo vício, a terceira Ré descumpriu o contrato de seguro. O bilhete estabelece que a seguradora "terá o prazo de até 30 (trinta) dias para o cumprimento das obrigações de extensão da garantia original do bem segurado", contado, quando necessário o atendimento em domicílio, "na data da comunicação do sinistro pelo Segurado", e fixa a ordem de cumprimento: reparo; não sendo possível, troca por bem idêntico; e, não sendo possível a troca, escolha do segurado "entre um bem igual ou similar ou devolução do valor".</w:t>
      </w:r>
    </w:p>
    <w:p>
      <w:pPr>
        <w:spacing w:before="0" w:after="240" w:lineRule="auto" w:line="276"/>
        <w:ind w:firstLine="2835" w:left="0" w:right="0"/>
        <w:jc w:val="both"/>
      </w:pPr>
      <w:r>
        <w:rPr>
          <w:sz w:val="24"/>
        </w:rPr>
      </w:r>
      <w:r>
        <w:rPr>
          <w:rFonts w:ascii="Arial Narrow" w:hAnsi="Arial Narrow" w:eastAsia="Arial Narrow"/>
          <w:b w:val="0"/>
          <w:i w:val="0"/>
          <w:sz w:val="24"/>
        </w:rPr>
        <w:t>O sinistro foi comunicado em 22/05/2026 e a vistoria foi realizada na residência da Autora. O prazo contratual de trinta dias se esgotou há muito, sem reparo, sem troca, sem devolução do valor e sem qualquer recusa por escrito. O próprio bilhete, ao tratar da perda da garantia do fornecedor, condiciona a recusa à apresentação ao consumidor, "por escrito e de forma clara e precisa", das "razões objetivas", o que jamais ocorreu.</w:t>
      </w:r>
    </w:p>
    <w:p>
      <w:pPr>
        <w:spacing w:before="0" w:after="240" w:lineRule="auto" w:line="276"/>
        <w:ind w:firstLine="2835" w:left="0" w:right="0"/>
        <w:jc w:val="both"/>
      </w:pPr>
      <w:r>
        <w:rPr>
          <w:sz w:val="24"/>
        </w:rPr>
      </w:r>
      <w:r>
        <w:rPr>
          <w:rFonts w:ascii="Arial Narrow" w:hAnsi="Arial Narrow" w:eastAsia="Arial Narrow"/>
          <w:b w:val="0"/>
          <w:i w:val="0"/>
          <w:sz w:val="24"/>
        </w:rPr>
        <w:t>A conduta afronta também a Lei nº 15.040/2024, em vigor desde dezembro de 2025 e, portanto, aplicável à regulação do sinistro aberto em maio de 2026, cujo art. 86 dispõe:</w:t>
      </w:r>
    </w:p>
    <w:p>
      <w:pPr>
        <w:spacing w:before="0" w:after="240" w:lineRule="auto" w:line="276"/>
        <w:ind w:firstLine="0" w:left="2835" w:right="0"/>
        <w:jc w:val="both"/>
      </w:pPr>
      <w:r>
        <w:rPr>
          <w:sz w:val="24"/>
        </w:rPr>
      </w:r>
      <w:r>
        <w:rPr>
          <w:rFonts w:ascii="Arial Narrow" w:hAnsi="Arial Narrow" w:eastAsia="Arial Narrow"/>
          <w:b w:val="0"/>
          <w:i/>
          <w:sz w:val="22"/>
        </w:rPr>
        <w:t>Art. 86. A seguradora terá o prazo máximo de 30 (trinta) dias para manifestar-se sobre a cobertura, sob pena de decair do direito de recusá-la, contado da data de apresentação da reclamação ou do aviso de sinistro pelo interessado, acompanhados de todos os elementos necessários à decisão a respeito da existência de cobertura.</w:t>
      </w:r>
    </w:p>
    <w:p>
      <w:pPr>
        <w:spacing w:before="0" w:after="240" w:lineRule="auto" w:line="276"/>
        <w:ind w:firstLine="2835" w:left="0" w:right="0"/>
        <w:jc w:val="both"/>
      </w:pPr>
      <w:r>
        <w:rPr>
          <w:sz w:val="24"/>
        </w:rPr>
      </w:r>
      <w:r>
        <w:rPr>
          <w:rFonts w:ascii="Arial Narrow" w:hAnsi="Arial Narrow" w:eastAsia="Arial Narrow"/>
          <w:b w:val="0"/>
          <w:i w:val="0"/>
          <w:sz w:val="24"/>
        </w:rPr>
        <w:t>O § 6º do mesmo artigo exige, ademais, que a recusa de cobertura seja "expressa e motivada". Tendo silenciado por mais de trinta dias após o aviso de sinistro e a vistoria, a terceira Ré decaiu do direito de recusar a cobertura.</w:t>
      </w:r>
    </w:p>
    <w:p>
      <w:pPr>
        <w:spacing w:before="0" w:after="240" w:lineRule="auto" w:line="276"/>
        <w:ind w:firstLine="2835" w:left="0" w:right="0"/>
        <w:jc w:val="both"/>
      </w:pPr>
      <w:r>
        <w:rPr>
          <w:sz w:val="24"/>
        </w:rPr>
      </w:r>
      <w:r>
        <w:rPr>
          <w:rFonts w:ascii="Arial Narrow" w:hAnsi="Arial Narrow" w:eastAsia="Arial Narrow"/>
          <w:b w:val="0"/>
          <w:i w:val="0"/>
          <w:sz w:val="24"/>
        </w:rPr>
        <w:t>Diante do exposto, a terceira Ré deve ser condenada, solidariamente com as demais, à restituição do valor do bem, que corresponde à opção "devolução do valor" prevista no próprio bilhete, dentro do limite máximo segurado.</w:t>
      </w:r>
    </w:p>
    <w:p>
      <w:pPr>
        <w:spacing w:before="240" w:after="240" w:lineRule="auto" w:line="276"/>
        <w:ind w:firstLine="0" w:left="2835" w:right="0"/>
        <w:jc w:val="both"/>
      </w:pPr>
      <w:r>
        <w:rPr>
          <w:sz w:val="24"/>
        </w:rPr>
      </w:r>
      <w:r>
        <w:rPr>
          <w:rFonts w:ascii="Arial Narrow" w:hAnsi="Arial Narrow" w:eastAsia="Arial Narrow"/>
          <w:b/>
          <w:i w:val="0"/>
          <w:sz w:val="24"/>
        </w:rPr>
        <w:t>8. DA REPARAÇÃO POR DANOS MORAIS</w:t>
      </w:r>
    </w:p>
    <w:p>
      <w:pPr>
        <w:pBdr>
          <w:top w:val="single" w:sz="4" w:space="6" w:color="C9D3E3"/>
          <w:left w:val="single" w:sz="24" w:space="8" w:color="1F3864"/>
          <w:bottom w:val="single" w:sz="4" w:space="6" w:color="C9D3E3"/>
          <w:right w:val="single" w:sz="4" w:space="6" w:color="C9D3E3"/>
        </w:pBdr>
        <w:shd w:val="clear" w:color="auto" w:fill="EEF2F7"/>
        <w:spacing w:before="0" w:after="28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Pessoa idosa privada de solução para vício em bem essencial, depois de pagar por um seguro específico, e ignorada pelas três Rés mesmo após a vistoria. O dano moral decorre da essencialidade do bem, do desvio produtivo e da hipervulnerabilidade da Autora, e o valor deve cumprir as funções compensatória e pedagógica da condenação.</w:t>
      </w:r>
    </w:p>
    <w:p>
      <w:pPr>
        <w:spacing w:before="0" w:after="240" w:lineRule="auto" w:line="276"/>
        <w:ind w:firstLine="2835" w:left="0" w:right="0"/>
        <w:jc w:val="both"/>
      </w:pPr>
      <w:r>
        <w:rPr>
          <w:sz w:val="24"/>
        </w:rPr>
      </w:r>
      <w:r>
        <w:rPr>
          <w:rFonts w:ascii="Arial Narrow" w:hAnsi="Arial Narrow" w:eastAsia="Arial Narrow"/>
          <w:b w:val="0"/>
          <w:i w:val="0"/>
          <w:sz w:val="24"/>
        </w:rPr>
        <w:t>A situação vivenciada pela Autora ultrapassa, em muito, o mero aborrecimento cotidiano, configurando grave violação aos seus direitos da personalidade, especialmente à sua dignidade, à sua tranquilidade e ao seu tempo de vida.</w:t>
      </w:r>
    </w:p>
    <w:p>
      <w:pPr>
        <w:spacing w:before="0" w:after="240" w:lineRule="auto" w:line="276"/>
        <w:ind w:firstLine="2835" w:left="0" w:right="0"/>
        <w:jc w:val="both"/>
      </w:pPr>
      <w:r>
        <w:rPr>
          <w:sz w:val="24"/>
        </w:rPr>
      </w:r>
      <w:r>
        <w:rPr>
          <w:rFonts w:ascii="Arial Narrow" w:hAnsi="Arial Narrow" w:eastAsia="Arial Narrow"/>
          <w:b w:val="0"/>
          <w:i w:val="0"/>
          <w:sz w:val="24"/>
        </w:rPr>
        <w:t>Não se trata de um simples inadimplemento contratual. A Autora, idosa e pensionista, comprometeu parte de sua renda na aquisição de um bem essencial ao seu dia a dia e pagou, além do preço, por um seguro cuja única razão de existir era protegê-la de um vício como o que se apresentou. Viu o aparelho enferrujar com menos de um ano de uso, procurou a fabricante e a seguradora, abriu sinistro, recebeu um técnico em sua casa e, depois disso, foi simplesmente ignorada pelas três empresas, que até hoje não lhe deram reparo, troca, devolução ou sequer uma resposta.</w:t>
      </w:r>
    </w:p>
    <w:p>
      <w:pPr>
        <w:spacing w:before="0" w:after="240" w:lineRule="auto" w:line="276"/>
        <w:ind w:firstLine="2835" w:left="0" w:right="0"/>
        <w:jc w:val="both"/>
      </w:pPr>
      <w:r>
        <w:rPr>
          <w:sz w:val="24"/>
        </w:rPr>
      </w:r>
      <w:r>
        <w:rPr>
          <w:rFonts w:ascii="Arial Narrow" w:hAnsi="Arial Narrow" w:eastAsia="Arial Narrow"/>
          <w:b w:val="0"/>
          <w:i w:val="0"/>
          <w:sz w:val="24"/>
        </w:rPr>
        <w:t>A Constituição Federal de 1988 assegura a reparação do dano moral em seu artigo 5º, incisos V e X, este último ao dispor que "são invioláveis a intimidade, a vida privada, a honra e a imagem das pessoas, assegurado o direito a indenização pelo dano material ou moral decorrente de sua violação", norma essencial ao Estado Democrático de Direito.</w:t>
      </w:r>
    </w:p>
    <w:p>
      <w:pPr>
        <w:spacing w:before="0" w:after="240" w:lineRule="auto" w:line="276"/>
        <w:ind w:firstLine="2835" w:left="0" w:right="0"/>
        <w:jc w:val="both"/>
      </w:pPr>
      <w:r>
        <w:rPr>
          <w:sz w:val="24"/>
        </w:rPr>
      </w:r>
      <w:r>
        <w:rPr>
          <w:rFonts w:ascii="Arial Narrow" w:hAnsi="Arial Narrow" w:eastAsia="Arial Narrow"/>
          <w:b w:val="0"/>
          <w:i w:val="0"/>
          <w:sz w:val="24"/>
        </w:rPr>
        <w:t>No âmbito do Código Civil, os arts. 186 e 927 determinam, respectivamente:</w:t>
      </w:r>
    </w:p>
    <w:p>
      <w:pPr>
        <w:spacing w:before="0" w:after="240" w:lineRule="auto" w:line="276"/>
        <w:ind w:firstLine="0" w:left="2835" w:right="0"/>
        <w:jc w:val="both"/>
      </w:pPr>
      <w:r>
        <w:rPr>
          <w:sz w:val="24"/>
        </w:rPr>
      </w:r>
      <w:r>
        <w:rPr>
          <w:rFonts w:ascii="Arial Narrow" w:hAnsi="Arial Narrow" w:eastAsia="Arial Narrow"/>
          <w:b w:val="0"/>
          <w:i/>
          <w:sz w:val="22"/>
        </w:rPr>
        <w:t>Art. 186. Aquele que, por ação ou omissão voluntária, negligência ou imprudência, violar direito e causar dano a outrem, ainda que exclusivamente moral, comete ato ilícito.</w:t>
      </w:r>
    </w:p>
    <w:p>
      <w:pPr>
        <w:spacing w:before="0" w:after="240" w:lineRule="auto" w:line="276"/>
        <w:ind w:firstLine="0" w:left="2835" w:right="0"/>
        <w:jc w:val="both"/>
      </w:pPr>
      <w:r>
        <w:rPr>
          <w:sz w:val="24"/>
        </w:rPr>
      </w:r>
      <w:r>
        <w:rPr>
          <w:rFonts w:ascii="Arial Narrow" w:hAnsi="Arial Narrow" w:eastAsia="Arial Narrow"/>
          <w:b w:val="0"/>
          <w:i/>
          <w:sz w:val="22"/>
        </w:rPr>
        <w:t>Art. 927. Aquele que, por ato ilícito (arts. 186 e 187), causar dano a outrem, fica obrigado a repará-lo.</w:t>
      </w:r>
    </w:p>
    <w:p>
      <w:pPr>
        <w:spacing w:before="0" w:after="240" w:lineRule="auto" w:line="276"/>
        <w:ind w:firstLine="2835" w:left="0" w:right="0"/>
        <w:jc w:val="both"/>
      </w:pPr>
      <w:r>
        <w:rPr>
          <w:sz w:val="24"/>
        </w:rPr>
      </w:r>
      <w:r>
        <w:rPr>
          <w:rFonts w:ascii="Arial Narrow" w:hAnsi="Arial Narrow" w:eastAsia="Arial Narrow"/>
          <w:b w:val="0"/>
          <w:i w:val="0"/>
          <w:sz w:val="24"/>
        </w:rPr>
        <w:t>O Código de Defesa do Consumidor, por sua vez, reconhece como direito básico do consumidor "a efetiva prevenção e reparação de danos patrimoniais e morais, individuais, coletivos e difusos" (art. 6º, VI), sendo objetiva a responsabilidade das Rés, que respondem independentemente de culpa pelo vício do produto (art. 18) e pela falha na prestação do serviço securitário (art. 14). Ao fornecedor cabe suportar o risco do negócio e o dever de indenizar o consumidor pelas falhas de sua atividade.</w:t>
      </w:r>
    </w:p>
    <w:p>
      <w:pPr>
        <w:spacing w:before="0" w:after="240" w:lineRule="auto" w:line="276"/>
        <w:ind w:firstLine="2835" w:left="0" w:right="0"/>
        <w:jc w:val="both"/>
      </w:pPr>
      <w:r>
        <w:rPr>
          <w:sz w:val="24"/>
        </w:rPr>
      </w:r>
      <w:r>
        <w:rPr>
          <w:rFonts w:ascii="Arial Narrow" w:hAnsi="Arial Narrow" w:eastAsia="Arial Narrow"/>
          <w:b w:val="0"/>
          <w:i w:val="0"/>
          <w:sz w:val="24"/>
        </w:rPr>
        <w:t>Três circunstâncias, presentes no caso, demonstram que o dano moral está configurado.</w:t>
      </w:r>
    </w:p>
    <w:p>
      <w:pPr>
        <w:spacing w:before="0" w:after="240" w:lineRule="auto" w:line="276"/>
        <w:ind w:firstLine="2835" w:left="0" w:right="0"/>
        <w:jc w:val="both"/>
      </w:pPr>
      <w:r>
        <w:rPr>
          <w:sz w:val="24"/>
        </w:rPr>
      </w:r>
      <w:r>
        <w:rPr>
          <w:rFonts w:ascii="Arial Narrow" w:hAnsi="Arial Narrow" w:eastAsia="Arial Narrow"/>
          <w:b w:val="0"/>
          <w:i w:val="0"/>
          <w:sz w:val="24"/>
        </w:rPr>
        <w:t>A primeira é a essencialidade do bem. A geladeira não é um bem supérfluo: é o eletrodoméstico que garante a conservação dos alimentos e a própria segurança alimentar do lar. Como assentou recentemente a 3ª Turma Recursal deste Tribunal, em julgamento oriundo desta Capital, "Destaca-se, igualmente, que a geladeira é bem essencial, indispensável à dignidade da vida doméstica, à conservação de alimentos e à segurança alimentar". A ementa do julgado sintetiza o entendimento:</w:t>
      </w:r>
    </w:p>
    <w:p>
      <w:pPr>
        <w:spacing w:before="0" w:after="240" w:lineRule="auto" w:line="276"/>
        <w:ind w:firstLine="0" w:left="2835" w:right="0"/>
        <w:jc w:val="both"/>
      </w:pPr>
      <w:r>
        <w:rPr>
          <w:sz w:val="24"/>
        </w:rPr>
      </w:r>
      <w:r>
        <w:rPr>
          <w:rFonts w:ascii="Arial Narrow" w:hAnsi="Arial Narrow" w:eastAsia="Arial Narrow"/>
          <w:b w:val="0"/>
          <w:i/>
          <w:sz w:val="22"/>
        </w:rPr>
        <w:t>RECURSO INOMINADO. DIREITO DO CONSUMIDOR. VÍCIO DO PRODUTO. GELADEIRA. BEM ESSENCIAL. DEFEITO APRESENTADO COM POUCO TEMPO DE USO. FRUSTRAÇÃO DA VIDA ÚTIL DO BEM. RESPONSABILIDADE OBJETIVA E SOLIDÁRIA DA FABRICANTE E DA ASSISTÊNCIA TÉCNICA (ARTS. 7º, 12 E 18 DO CDC). SUCESSIVAS TENTATIVAS ADMINISTRATIVAS INFRUTÍFERAS. DEMORA EXCESSIVA NA SOLUÇÃO DO VÍCIO. INEFICIÊNCIA DO PÓS‑VENDA. DESVIO PRODUTIVO DO CONSUMIDOR. PERDA DO TEMPO ÚTIL. DANO MORAL CONFIGURADO. APLICAÇÃO DO ENUNCIADO Nº 8.3 DAS TURMAS RECURSAIS DO PARANÁ. SENTENÇA MANTIDA POR SEUS PRÓPRIOS FUNDAMENTOS. RECURSO CONHECIDO E DESPROVIDO. (...)</w:t>
      </w:r>
    </w:p>
    <w:p>
      <w:pPr>
        <w:spacing w:before="0" w:after="240" w:lineRule="auto" w:line="276"/>
        <w:ind w:firstLine="0" w:left="2835" w:right="0"/>
        <w:jc w:val="both"/>
      </w:pPr>
      <w:r>
        <w:rPr>
          <w:sz w:val="24"/>
        </w:rPr>
      </w:r>
      <w:r>
        <w:rPr>
          <w:rFonts w:ascii="Arial Narrow" w:hAnsi="Arial Narrow" w:eastAsia="Arial Narrow"/>
          <w:b w:val="0"/>
          <w:i/>
          <w:sz w:val="22"/>
        </w:rPr>
        <w:t>(TJPR - 3ª Turma Recursal - 0036980-87.2025.8.16.0182 - Curitiba - Rel.: JUÍZA DE DIREITO SUBSTITUTO HELÊNIKA VALENTE DE SOUZA PINTO - J. 20.07.2026)</w:t>
      </w:r>
    </w:p>
    <w:p>
      <w:pPr>
        <w:spacing w:before="0" w:after="240" w:lineRule="auto" w:line="276"/>
        <w:ind w:firstLine="2835" w:left="0" w:right="0"/>
        <w:jc w:val="both"/>
      </w:pPr>
      <w:r>
        <w:rPr>
          <w:sz w:val="24"/>
        </w:rPr>
      </w:r>
      <w:r>
        <w:rPr>
          <w:rFonts w:ascii="Arial Narrow" w:hAnsi="Arial Narrow" w:eastAsia="Arial Narrow"/>
          <w:b w:val="0"/>
          <w:i w:val="0"/>
          <w:sz w:val="24"/>
        </w:rPr>
        <w:t>A segunda circunstância é o desvio produtivo da consumidora. A Autora precisou despender tempo, energia e recursos para telefonar à fabricante, abrir sinistro junto à seguradora, receber técnico em sua residência, aguardar uma resposta que nunca veio e, por fim, recorrer ao Poder Judiciário para obter aquilo que as Rés tinham o dever de lhe entregar espontaneamente.</w:t>
      </w:r>
    </w:p>
    <w:p>
      <w:pPr>
        <w:spacing w:before="0" w:after="240" w:lineRule="auto" w:line="276"/>
        <w:ind w:firstLine="2835" w:left="0" w:right="0"/>
        <w:jc w:val="both"/>
      </w:pPr>
      <w:r>
        <w:rPr>
          <w:sz w:val="24"/>
        </w:rPr>
      </w:r>
      <w:r>
        <w:rPr>
          <w:rFonts w:ascii="Arial Narrow" w:hAnsi="Arial Narrow" w:eastAsia="Arial Narrow"/>
          <w:b w:val="0"/>
          <w:i w:val="0"/>
          <w:sz w:val="24"/>
        </w:rPr>
        <w:t>Sobre o assunto, Marcos Dessaune, em seu livro Desvio Produtivo do Consumidor – O Prejuízo do Tempo Desperdiçado (São Paulo: RT, 2011), leciona:</w:t>
      </w:r>
    </w:p>
    <w:p>
      <w:pPr>
        <w:spacing w:before="0" w:after="240" w:lineRule="auto" w:line="276"/>
        <w:ind w:firstLine="0" w:left="2835" w:right="0"/>
        <w:jc w:val="both"/>
      </w:pPr>
      <w:r>
        <w:rPr>
          <w:sz w:val="24"/>
        </w:rPr>
      </w:r>
      <w:r>
        <w:rPr>
          <w:rFonts w:ascii="Arial Narrow" w:hAnsi="Arial Narrow" w:eastAsia="Arial Narrow"/>
          <w:b w:val="0"/>
          <w:i/>
          <w:sz w:val="22"/>
        </w:rPr>
        <w:t>"O desvio produtivo caracteriza-se quando o consumidor, diante de uma situação de mau atendimento, precisa desperdiçar o seu tempo e desviar as suas competências — de uma atividade necessária ou por ele preferida — para tentar resolver um problema criado pelo fornecedor, a um custo de oportunidade indesejado, de natureza irrecuperável."</w:t>
      </w:r>
    </w:p>
    <w:p>
      <w:pPr>
        <w:spacing w:before="0" w:after="240" w:lineRule="auto" w:line="276"/>
        <w:ind w:firstLine="2835" w:left="0" w:right="0"/>
        <w:jc w:val="both"/>
      </w:pPr>
      <w:r>
        <w:rPr>
          <w:sz w:val="24"/>
        </w:rPr>
      </w:r>
      <w:r>
        <w:rPr>
          <w:rFonts w:ascii="Arial Narrow" w:hAnsi="Arial Narrow" w:eastAsia="Arial Narrow"/>
          <w:b w:val="0"/>
          <w:i w:val="0"/>
          <w:sz w:val="24"/>
        </w:rPr>
        <w:t>O Superior Tribunal de Justiça, conforme transcrito em acórdão da 7ª Câmara Cível deste Tribunal, já sintetizou a teoria nos seguintes termos:</w:t>
      </w:r>
    </w:p>
    <w:p>
      <w:pPr>
        <w:spacing w:before="0" w:after="240" w:lineRule="auto" w:line="276"/>
        <w:ind w:firstLine="0" w:left="2835" w:right="0"/>
        <w:jc w:val="both"/>
      </w:pPr>
      <w:r>
        <w:rPr>
          <w:sz w:val="24"/>
        </w:rPr>
      </w:r>
      <w:r>
        <w:rPr>
          <w:rFonts w:ascii="Arial Narrow" w:hAnsi="Arial Narrow" w:eastAsia="Arial Narrow"/>
          <w:b w:val="0"/>
          <w:i/>
          <w:sz w:val="22"/>
        </w:rPr>
        <w:t>"a teoria do desvio produtivo parte do pressuposto de que haveria uma obrigação imposta aos fornecedores de garantir a otimização e o máximo aproveitamento dos recursos produtivos disponíveis na sociedade, entre eles, o tempo.Assim, para os seus partidários, a referida teoria seria aplicável sempre que o fornecedor buscar se eximir da sua responsabilidade de sanar os infortúnios criados aos consumidores de forma voluntária, tempestiva e efetiva, levando a parte vulnerável da relação a desperdiçar o seu tempo e a desviar de suas atividades normais para solucionar o problema que lhe foi imposto"(EDcl no AgInt no AREsp n. 2.393.261/BA, relatora Ministra Maria Isabel Gallotti, Quarta Turma, julgado em 9/9/2024, DJe de 12/9/2024).</w:t>
      </w:r>
    </w:p>
    <w:p>
      <w:pPr>
        <w:spacing w:before="0" w:after="240" w:lineRule="auto" w:line="276"/>
        <w:ind w:firstLine="2835" w:left="0" w:right="0"/>
        <w:jc w:val="both"/>
      </w:pPr>
      <w:r>
        <w:rPr>
          <w:sz w:val="24"/>
        </w:rPr>
      </w:r>
      <w:r>
        <w:rPr>
          <w:rFonts w:ascii="Arial Narrow" w:hAnsi="Arial Narrow" w:eastAsia="Arial Narrow"/>
          <w:b w:val="0"/>
          <w:i w:val="0"/>
          <w:sz w:val="24"/>
        </w:rPr>
        <w:t>No âmbito deste Tribunal, o Enunciado nº 8.3 das Turmas Recursais do Paraná, tal como transcrito no acórdão da 3ª Turma Recursal acima citado, consolida que "A ineficiência na solução administrativa do problema, com perda do tempo útil do consumidor, caracteriza dano moral indenizável."</w:t>
      </w:r>
    </w:p>
    <w:p>
      <w:pPr>
        <w:spacing w:before="0" w:after="240" w:lineRule="auto" w:line="276"/>
        <w:ind w:firstLine="2835" w:left="0" w:right="0"/>
        <w:jc w:val="both"/>
      </w:pPr>
      <w:r>
        <w:rPr>
          <w:sz w:val="24"/>
        </w:rPr>
      </w:r>
      <w:r>
        <w:rPr>
          <w:rFonts w:ascii="Arial Narrow" w:hAnsi="Arial Narrow" w:eastAsia="Arial Narrow"/>
          <w:b w:val="0"/>
          <w:i w:val="0"/>
          <w:sz w:val="24"/>
        </w:rPr>
        <w:t>A terceira circunstância é a condição de pessoa idosa da Autora, que agrava a sua vulnerabilidade. Se todo consumidor é vulnerável no mercado de consumo (art. 4º, I, do CDC), a consumidora idosa é hipervulnerável, merecedora de proteção reforçada. O Estatuto da Pessoa Idosa (Lei nº 10.741/2003) dispõe em seu art. 3º que "É obrigação da família, da comunidade, da sociedade e do poder público assegurar à pessoa idosa, com absoluta prioridade, a efetivação do direito à vida, à saúde, à alimentação, à educação, à cultura, ao esporte, ao lazer, ao trabalho, à cidadania, à liberdade, à dignidade, ao respeito e à convivência familiar e comunitária", e em seu art. 4º que "Nenhuma pessoa idosa será objeto de qualquer tipo de negligência, discriminação, violência, crueldade ou opressão, e todo atentado aos seus direitos, por ação ou omissão, será punido na forma da lei".</w:t>
      </w:r>
    </w:p>
    <w:p>
      <w:pPr>
        <w:spacing w:before="0" w:after="240" w:lineRule="auto" w:line="276"/>
        <w:ind w:firstLine="2835" w:left="0" w:right="0"/>
        <w:jc w:val="both"/>
      </w:pPr>
      <w:r>
        <w:rPr>
          <w:sz w:val="24"/>
        </w:rPr>
      </w:r>
      <w:r>
        <w:rPr>
          <w:rFonts w:ascii="Arial Narrow" w:hAnsi="Arial Narrow" w:eastAsia="Arial Narrow"/>
          <w:b w:val="0"/>
          <w:i w:val="0"/>
          <w:sz w:val="24"/>
        </w:rPr>
        <w:t>A 8ª Câmara Cível deste Tribunal, conforme precedente transcrito no mesmo acórdão da 7ª Câmara Cível, fixou em R$ 5.000,00 a indenização devida a consumidor idoso que precisou contatar o fornecedor inúmeras vezes para resolver vício em produto novo:</w:t>
      </w:r>
    </w:p>
    <w:p>
      <w:pPr>
        <w:spacing w:before="0" w:after="240" w:lineRule="auto" w:line="276"/>
        <w:ind w:firstLine="0" w:left="2835" w:right="0"/>
        <w:jc w:val="both"/>
      </w:pPr>
      <w:r>
        <w:rPr>
          <w:sz w:val="24"/>
        </w:rPr>
      </w:r>
      <w:r>
        <w:rPr>
          <w:rFonts w:ascii="Arial Narrow" w:hAnsi="Arial Narrow" w:eastAsia="Arial Narrow"/>
          <w:b w:val="0"/>
          <w:i/>
          <w:sz w:val="22"/>
        </w:rPr>
        <w:t>MÉRITO – RECURSO DO AUTOR – DANOS MORAIS – OCORRÊNCIA – SITUAÇÃO QUE ULTRAPASSA O MERO DISSABOR COTIDIANO – DEMANDANTE QUE É PESSOA IDOSA, COM OITENTA E UM ANOS – BEM NOVO, ADQUIRIDO PELA INTERNET – VÍCIO DO PRODUTO – AUTOR QUE TEVE QUE ENTRAR COM CONTATO COM A REQUERIDA INÚMERAS VEZES PARA RESOLVER A SITUAÇÃO – COMPROVAÇÃO DE ABALO EXTRAORDINÁRIO À HONRA – VIOLAÇÃO AOS DIREITOS DA PERSONALIDADE – DANO MORAL ARBITRADO EM R$ 5.000,00 (CINCO MIL REAIS) – SENTENÇA REFORMADA, PARA JULGAR PROCEDENTES OS PEDIDOS INICIAIS – REDISTRIBUIÇÃO DA SUCUMBÊNCIA.RECURSO DE APELAÇÃO CONHECIDO E PROVIDO.</w:t>
      </w:r>
    </w:p>
    <w:p>
      <w:pPr>
        <w:spacing w:before="0" w:after="240" w:lineRule="auto" w:line="276"/>
        <w:ind w:firstLine="0" w:left="2835" w:right="0"/>
        <w:jc w:val="both"/>
      </w:pPr>
      <w:r>
        <w:rPr>
          <w:sz w:val="24"/>
        </w:rPr>
      </w:r>
      <w:r>
        <w:rPr>
          <w:rFonts w:ascii="Arial Narrow" w:hAnsi="Arial Narrow" w:eastAsia="Arial Narrow"/>
          <w:b w:val="0"/>
          <w:i/>
          <w:sz w:val="22"/>
        </w:rPr>
        <w:t>(TJPR - 8ª Câmara Cível - 0012313-27.2023.8.16.0014 - Londrina - Rel.: SUBSTITUTO ADEMIR RIBEIRO RICHTER - J. 07.11.2024)</w:t>
      </w:r>
    </w:p>
    <w:p>
      <w:pPr>
        <w:spacing w:before="0" w:after="240" w:lineRule="auto" w:line="276"/>
        <w:ind w:firstLine="2835" w:left="0" w:right="0"/>
        <w:jc w:val="both"/>
      </w:pPr>
      <w:r>
        <w:rPr>
          <w:sz w:val="24"/>
        </w:rPr>
      </w:r>
      <w:r>
        <w:rPr>
          <w:rFonts w:ascii="Arial Narrow" w:hAnsi="Arial Narrow" w:eastAsia="Arial Narrow"/>
          <w:b w:val="0"/>
          <w:i w:val="0"/>
          <w:sz w:val="24"/>
        </w:rPr>
        <w:t>Quanto ao valor da indenização, é preciso considerar que o dano moral não cumpre apenas a função de compensar a vítima. Ao mencionar a "efetiva prevenção" de danos ao lado de sua reparação, o próprio art. 6º, VI, do CDC evidencia que a condenação deve também desestimular o fornecedor a repetir a conduta lesiva, sob pena de se tornar mais vantajoso, para a empresa, ignorar o consumidor do que cumprir a garantia que ela mesma vendeu.</w:t>
      </w:r>
    </w:p>
    <w:p>
      <w:pPr>
        <w:spacing w:before="0" w:after="240" w:lineRule="auto" w:line="276"/>
        <w:ind w:firstLine="2835" w:left="0" w:right="0"/>
        <w:jc w:val="both"/>
      </w:pPr>
      <w:r>
        <w:rPr>
          <w:sz w:val="24"/>
        </w:rPr>
      </w:r>
      <w:r>
        <w:rPr>
          <w:rFonts w:ascii="Arial Narrow" w:hAnsi="Arial Narrow" w:eastAsia="Arial Narrow"/>
          <w:b w:val="0"/>
          <w:i w:val="0"/>
          <w:sz w:val="24"/>
        </w:rPr>
        <w:t>Nesse sentido, a 9ª Câmara Cível deste Tribunal, em julgamento de junho de 2026, ao majorar a indenização devida a consumidora privada de refrigerador viciado, consignou que "Diante da impossibilidade de mensurar a dor, o dano moral possui a função de buscar uma compensação ao ofendido. Ao mesmo tempo, deve-se atentar para o seu caráter punitivo-pedagógico, de modo a evitar que o causador do dano venha a repeti-lo". A ementa do julgado registra:</w:t>
      </w:r>
    </w:p>
    <w:p>
      <w:pPr>
        <w:spacing w:before="0" w:after="240" w:lineRule="auto" w:line="276"/>
        <w:ind w:firstLine="0" w:left="2835" w:right="0"/>
        <w:jc w:val="both"/>
      </w:pPr>
      <w:r>
        <w:rPr>
          <w:sz w:val="24"/>
        </w:rPr>
      </w:r>
      <w:r>
        <w:rPr>
          <w:rFonts w:ascii="Arial Narrow" w:hAnsi="Arial Narrow" w:eastAsia="Arial Narrow"/>
          <w:b w:val="0"/>
          <w:i/>
          <w:sz w:val="22"/>
        </w:rPr>
        <w:t>DIREITO CIVIL E DO CONSUMIDOR. APELAÇÃO CÍVEL. AÇÃO DECLARATÓRIA DE INEXISTÊNCIA DE DÉBITO C/C INDENIZAÇÃO POR DANOS MATERIAIS E MORAIS. VÍCIO DO PRODUTO E FALHA NA PRESTAÇÃO DE SERVIÇOS. INÉRCIA NA SOLUÇÃO ADMINISTRATIVA. PRIVACÃO PROLONGADA DE BENS ESSENCIAIS. NEGATIVAÇÃO INDEVIDA. DANO MORAL CONFIGURADO. MAJORAÇÃO DO QUANTUM INDENIZATÓRIO. CRITÉRIO BIFÁSICO. ABATIMENTO DE VALORES PAGOS EM ACORDO COM CODEVEDOR SOLIDÁRIO. SENTENÇA PARCIALMENTE REFORMADA. (...)</w:t>
      </w:r>
    </w:p>
    <w:p>
      <w:pPr>
        <w:spacing w:before="0" w:after="240" w:lineRule="auto" w:line="276"/>
        <w:ind w:firstLine="0" w:left="2835" w:right="0"/>
        <w:jc w:val="both"/>
      </w:pPr>
      <w:r>
        <w:rPr>
          <w:sz w:val="24"/>
        </w:rPr>
      </w:r>
      <w:r>
        <w:rPr>
          <w:rFonts w:ascii="Arial Narrow" w:hAnsi="Arial Narrow" w:eastAsia="Arial Narrow"/>
          <w:b w:val="0"/>
          <w:i/>
          <w:sz w:val="22"/>
        </w:rPr>
        <w:t>4. A privação prolongada de bens essenciais, especialmente refrigerador, aliada à ineficiência do pós-venda e à indevida inscrição do nome da autora em cadastro de inadimplentes, configura situação que extrapola o mero aborrecimento, caracterizando dano moral indenizável.5. O valor inicialmente arbitrado mostrou-se insuficiente diante das peculiaridades do caso, sendo cabível a majoração da indenização para R$ 5.000,00, em observância aos princípios da razoabilidade e proporcionalidade e ao critério bifásico adotado pela jurisprudência. (...)</w:t>
      </w:r>
    </w:p>
    <w:p>
      <w:pPr>
        <w:spacing w:before="0" w:after="240" w:lineRule="auto" w:line="276"/>
        <w:ind w:firstLine="0" w:left="2835" w:right="0"/>
        <w:jc w:val="both"/>
      </w:pPr>
      <w:r>
        <w:rPr>
          <w:sz w:val="24"/>
        </w:rPr>
      </w:r>
      <w:r>
        <w:rPr>
          <w:rFonts w:ascii="Arial Narrow" w:hAnsi="Arial Narrow" w:eastAsia="Arial Narrow"/>
          <w:b w:val="0"/>
          <w:i/>
          <w:sz w:val="22"/>
        </w:rPr>
        <w:t>(TJPR - 9ª Câmara Cível - 0001926-59.2022.8.16.0087 - Guaraniaçu - Rel.: SUBSTITUTO GUILHERME FREDERICO HERNANDES DENZ - J. 15.06.2026)</w:t>
      </w:r>
    </w:p>
    <w:p>
      <w:pPr>
        <w:spacing w:before="0" w:after="240" w:lineRule="auto" w:line="276"/>
        <w:ind w:firstLine="2835" w:left="0" w:right="0"/>
        <w:jc w:val="both"/>
      </w:pPr>
      <w:r>
        <w:rPr>
          <w:sz w:val="24"/>
        </w:rPr>
      </w:r>
      <w:r>
        <w:rPr>
          <w:rFonts w:ascii="Arial Narrow" w:hAnsi="Arial Narrow" w:eastAsia="Arial Narrow"/>
          <w:b w:val="0"/>
          <w:i w:val="0"/>
          <w:sz w:val="24"/>
        </w:rPr>
        <w:t>No mesmo acórdão, o Tribunal invocou a lição de Sergio Cavalieri Filho, segundo a qual "o juiz, ao valorar o dano moral, deve arbitrar uma quantia que, de acordo com o seu prudente arbítrio, seja compatível com a reprovabilidade da conduta ilícita, a intensidade e duração do sofrimento experimentado pela vítima, a capacidade econômica do causador do dano, as condições sociais do ofendido, e outras circunstâncias mais que se fizerem presentes", e destacou que, sendo as rés "pessoas jurídicas de elevado poder econômico", o valor de R$ 5.000,00 era "suficiente a proporcionar consolo às vítimas e cumprir a sua função pedagógica".</w:t>
      </w:r>
    </w:p>
    <w:p>
      <w:pPr>
        <w:spacing w:before="0" w:after="240" w:lineRule="auto" w:line="276"/>
        <w:ind w:firstLine="2835" w:left="0" w:right="0"/>
        <w:jc w:val="both"/>
      </w:pPr>
      <w:r>
        <w:rPr>
          <w:sz w:val="24"/>
        </w:rPr>
      </w:r>
      <w:r>
        <w:rPr>
          <w:rFonts w:ascii="Arial Narrow" w:hAnsi="Arial Narrow" w:eastAsia="Arial Narrow"/>
          <w:b w:val="0"/>
          <w:i w:val="0"/>
          <w:sz w:val="24"/>
        </w:rPr>
        <w:t>A 7ª Câmara Cível, por sua vez, ao julgar caso de eletrodoméstico essencial com tentativas frustradas de solução extrajudicial, majorou a indenização ao mesmo patamar, "bem ponderados os princípios da proporcionalidade e da razoabilidade, bem como a finalidade dúplice da condenação (compensatória/reparatória para a autora e repressiva/preventiva/pedagógica para a ré)":</w:t>
      </w:r>
    </w:p>
    <w:p>
      <w:pPr>
        <w:spacing w:before="0" w:after="240" w:lineRule="auto" w:line="276"/>
        <w:ind w:firstLine="0" w:left="2835" w:right="0"/>
        <w:jc w:val="both"/>
      </w:pPr>
      <w:r>
        <w:rPr>
          <w:sz w:val="24"/>
        </w:rPr>
      </w:r>
      <w:r>
        <w:rPr>
          <w:rFonts w:ascii="Arial Narrow" w:hAnsi="Arial Narrow" w:eastAsia="Arial Narrow"/>
          <w:b w:val="0"/>
          <w:i/>
          <w:sz w:val="22"/>
        </w:rPr>
        <w:t>APELAÇÃO CÍVEL. AÇÃO DE OBRIGAÇÃO DE FAZER C/C REPARAÇÃO POR DANOS MORAIS. AQUISIÇÃO DE MÁQUINA DE LAVAR E SECAR ROUPAS. ENTREGA DE PRODUTO DIVERSO. DEMORA NA REALIZAÇÃO DA TROCA. SENTENÇA DE PROCEDÊNCIA. INSURGÊNCIA DA AUTORA. PRETENSÃO DE MAJORAÇÃO DOS DANOS MORAIS. ESPECIFICIDADES DO CASO CONCRETO NÃO PONDERADAS. TENTATIVAS FRUSTRADAS DE RESOLUÇÃO EXTRAJUDICIAL. PROCRASTINAÇÃO E DESCASO DA RÉ EVIDENTES. DESVIO PRODUTIVO CARACTERIZADO. DEMORA DE UM ANO E MEIO ATÉ A OBTENÇÃO DO PRODUTO CORRETO, POR MANDADO DE BUSCA. IMPOSSIBILIDADE DE USO DE ELETRODOMÉSTICO ESSENCIAL. DUPLA FUNÇÃO DA CONDENAÇÃO. MAJORAÇÃO CONCEDIDA. (...)</w:t>
      </w:r>
    </w:p>
    <w:p>
      <w:pPr>
        <w:spacing w:before="0" w:after="240" w:lineRule="auto" w:line="276"/>
        <w:ind w:firstLine="0" w:left="2835" w:right="0"/>
        <w:jc w:val="both"/>
      </w:pPr>
      <w:r>
        <w:rPr>
          <w:sz w:val="24"/>
        </w:rPr>
      </w:r>
      <w:r>
        <w:rPr>
          <w:rFonts w:ascii="Arial Narrow" w:hAnsi="Arial Narrow" w:eastAsia="Arial Narrow"/>
          <w:b w:val="0"/>
          <w:i/>
          <w:sz w:val="22"/>
        </w:rPr>
        <w:t>(TJPR - 7ª Câmara Cível - 0005103-95.2022.8.16.0001 - Curitiba - Rel.: DESEMBARGADOR VICTOR MARTIM BATSCHKE - J. 28.02.2025)</w:t>
      </w:r>
    </w:p>
    <w:p>
      <w:pPr>
        <w:spacing w:before="0" w:after="240" w:lineRule="auto" w:line="276"/>
        <w:ind w:firstLine="2835" w:left="0" w:right="0"/>
        <w:jc w:val="both"/>
      </w:pPr>
      <w:r>
        <w:rPr>
          <w:sz w:val="24"/>
        </w:rPr>
      </w:r>
      <w:r>
        <w:rPr>
          <w:rFonts w:ascii="Arial Narrow" w:hAnsi="Arial Narrow" w:eastAsia="Arial Narrow"/>
          <w:b w:val="0"/>
          <w:i w:val="0"/>
          <w:sz w:val="24"/>
        </w:rPr>
        <w:t>No caso dos autos, todos esses elementos recomendam que a indenização não fique abaixo de R$ 5.000,00. A Autora é idosa, com 77 anos, e vive exclusivamente de sua pensão. O bem viciado é essencial. A Autora pagou por um seguro específico para evitar exatamente essa situação. As Rés são três empresas de grande porte, uma delas multinacional e outra seguradora de alcance nacional, que, mesmo após vistoriar o bem, preferiram o silêncio. E a situação perdura por mais de quatro meses desde a abertura do sinistro, sem qualquer perspectiva de solução.</w:t>
      </w:r>
    </w:p>
    <w:p>
      <w:pPr>
        <w:spacing w:before="0" w:after="240" w:lineRule="auto" w:line="276"/>
        <w:ind w:firstLine="2835" w:left="0" w:right="0"/>
        <w:jc w:val="both"/>
      </w:pPr>
      <w:r>
        <w:rPr>
          <w:sz w:val="24"/>
        </w:rPr>
      </w:r>
      <w:r>
        <w:rPr>
          <w:rFonts w:ascii="Arial Narrow" w:hAnsi="Arial Narrow" w:eastAsia="Arial Narrow"/>
          <w:b w:val="0"/>
          <w:i w:val="0"/>
          <w:sz w:val="24"/>
        </w:rPr>
        <w:t>Uma condenação em valor módico, diante desse quadro, não compensaria a Autora e, sobretudo, não teria qualquer efeito sobre a conduta de empresas desse porte, que continuariam a lucrar com a venda de garantias que não pretendem cumprir. O valor pleiteado, ao contrário, está em harmonia com os precedentes deste Tribunal, compensa adequadamente o abalo sofrido e desestimula a reiteração da conduta, sem caracterizar enriquecimento ilícito.</w:t>
      </w:r>
    </w:p>
    <w:p>
      <w:pPr>
        <w:spacing w:before="0" w:after="240" w:lineRule="auto" w:line="276"/>
        <w:ind w:firstLine="2835" w:left="0" w:right="0"/>
        <w:jc w:val="both"/>
      </w:pPr>
      <w:r>
        <w:rPr>
          <w:sz w:val="24"/>
        </w:rPr>
      </w:r>
      <w:r>
        <w:rPr>
          <w:rFonts w:ascii="Arial Narrow" w:hAnsi="Arial Narrow" w:eastAsia="Arial Narrow"/>
          <w:b w:val="0"/>
          <w:i w:val="0"/>
          <w:sz w:val="24"/>
        </w:rPr>
        <w:t>Em face do exposto, requer-se que seja julgado procedente o pedido para CONDENAR as Rés, solidariamente, a reparar os DANOS MORAIS sofridos pela Autora, em valor não inferior a R$ 5.000,00 (cinco mil reais).</w:t>
      </w:r>
    </w:p>
    <w:p>
      <w:pPr>
        <w:spacing w:before="240" w:after="240" w:lineRule="auto" w:line="276"/>
        <w:ind w:firstLine="0" w:left="2835" w:right="0"/>
        <w:jc w:val="both"/>
      </w:pPr>
      <w:r>
        <w:rPr>
          <w:sz w:val="24"/>
        </w:rPr>
      </w:r>
      <w:r>
        <w:rPr>
          <w:rFonts w:ascii="Arial Narrow" w:hAnsi="Arial Narrow" w:eastAsia="Arial Narrow"/>
          <w:b/>
          <w:i w:val="0"/>
          <w:sz w:val="24"/>
        </w:rPr>
        <w:t>9. DOS PEDIDOS</w:t>
      </w:r>
    </w:p>
    <w:p>
      <w:pPr>
        <w:spacing w:before="0" w:after="240" w:lineRule="auto" w:line="276"/>
        <w:ind w:firstLine="2835" w:left="0" w:right="0"/>
        <w:jc w:val="both"/>
      </w:pPr>
      <w:r>
        <w:rPr>
          <w:sz w:val="24"/>
        </w:rPr>
      </w:r>
      <w:r>
        <w:rPr>
          <w:rFonts w:ascii="Arial Narrow" w:hAnsi="Arial Narrow" w:eastAsia="Arial Narrow"/>
          <w:b w:val="0"/>
          <w:i w:val="0"/>
          <w:sz w:val="24"/>
        </w:rPr>
        <w:t>Ante o exposto, requer-se a Vossa Excelência:</w:t>
      </w:r>
    </w:p>
    <w:p>
      <w:pPr>
        <w:tabs>
          <w:tab w:pos="737" w:val="left"/>
        </w:tabs>
        <w:spacing w:before="0" w:after="160" w:lineRule="auto" w:line="276"/>
        <w:ind w:left="737" w:right="0" w:hanging="737"/>
        <w:jc w:val="both"/>
      </w:pPr>
      <w:r>
        <w:rPr>
          <w:rFonts w:ascii="Arial Narrow" w:hAnsi="Arial Narrow" w:eastAsia="Arial Narrow" w:cs="Arial Narrow"/>
          <w:b/>
          <w:color w:val="1F3864"/>
          <w:sz w:val="24"/>
        </w:rPr>
        <w:t>I)</w:t>
      </w:r>
      <w:r>
        <w:rPr>
          <w:rFonts w:ascii="Arial Narrow" w:hAnsi="Arial Narrow" w:eastAsia="Arial Narrow" w:cs="Arial Narrow"/>
          <w:sz w:val="24"/>
        </w:rPr>
        <w:tab/>
      </w:r>
      <w:r>
        <w:rPr>
          <w:rFonts w:ascii="Arial Narrow" w:hAnsi="Arial Narrow" w:eastAsia="Arial Narrow" w:cs="Arial Narrow"/>
          <w:b w:val="0"/>
          <w:i w:val="0"/>
          <w:sz w:val="24"/>
        </w:rPr>
        <w:t>O recebimento da presente petição inicial, bem como de todos os documentos que a instruem;</w:t>
      </w:r>
    </w:p>
    <w:p>
      <w:pPr>
        <w:tabs>
          <w:tab w:pos="737" w:val="left"/>
        </w:tabs>
        <w:spacing w:before="0" w:after="160" w:lineRule="auto" w:line="276"/>
        <w:ind w:left="737" w:right="0" w:hanging="737"/>
        <w:jc w:val="both"/>
      </w:pPr>
      <w:r>
        <w:rPr>
          <w:rFonts w:ascii="Arial Narrow" w:hAnsi="Arial Narrow" w:eastAsia="Arial Narrow" w:cs="Arial Narrow"/>
          <w:b/>
          <w:color w:val="1F3864"/>
          <w:sz w:val="24"/>
        </w:rPr>
        <w:t>II)</w:t>
      </w:r>
      <w:r>
        <w:rPr>
          <w:rFonts w:ascii="Arial Narrow" w:hAnsi="Arial Narrow" w:eastAsia="Arial Narrow" w:cs="Arial Narrow"/>
          <w:sz w:val="24"/>
        </w:rPr>
        <w:tab/>
      </w:r>
      <w:r>
        <w:rPr>
          <w:rFonts w:ascii="Arial Narrow" w:hAnsi="Arial Narrow" w:eastAsia="Arial Narrow" w:cs="Arial Narrow"/>
          <w:b w:val="0"/>
          <w:i w:val="0"/>
          <w:sz w:val="24"/>
        </w:rPr>
        <w:t>O recebimento do substabelecimento com reserva de poderes ao advogado GUILHERME TKACZUK ARTIN (OAB/PR 95.843), com a anotação de ambos os advogados no sistema e a realização de todas as intimações em nome de ROBERTO ELIAS RODRIGUES (OAB/PR 92.773) e GUILHERME TKACZUK ARTIN (OAB/PR 95.843), sob pena de nulidade (art. 272, § 5º, do CPC);</w:t>
      </w:r>
    </w:p>
    <w:p>
      <w:pPr>
        <w:tabs>
          <w:tab w:pos="737" w:val="left"/>
        </w:tabs>
        <w:spacing w:before="0" w:after="160" w:lineRule="auto" w:line="276"/>
        <w:ind w:left="737" w:right="0" w:hanging="737"/>
        <w:jc w:val="both"/>
      </w:pPr>
      <w:r>
        <w:rPr>
          <w:rFonts w:ascii="Arial Narrow" w:hAnsi="Arial Narrow" w:eastAsia="Arial Narrow" w:cs="Arial Narrow"/>
          <w:b/>
          <w:color w:val="1F3864"/>
          <w:sz w:val="24"/>
        </w:rPr>
        <w:t>III)</w:t>
      </w:r>
      <w:r>
        <w:rPr>
          <w:rFonts w:ascii="Arial Narrow" w:hAnsi="Arial Narrow" w:eastAsia="Arial Narrow" w:cs="Arial Narrow"/>
          <w:sz w:val="24"/>
        </w:rPr>
        <w:tab/>
      </w:r>
      <w:r>
        <w:rPr>
          <w:rFonts w:ascii="Arial Narrow" w:hAnsi="Arial Narrow" w:eastAsia="Arial Narrow" w:cs="Arial Narrow"/>
          <w:b w:val="0"/>
          <w:i w:val="0"/>
          <w:sz w:val="24"/>
        </w:rPr>
        <w:t>A concessão da JUSTIÇA GRATUITA à Autora, nos termos do artigo 5º, LXXIV, da CF, dos artigos 98 e seguintes do Código de Processo Civil e da tese fixada pelo Supremo Tribunal Federal na ADC 80, bem como a anotação da PRIORIDADE DE TRAMITAÇÃO, nos termos do art. 1.048, I, do Código de Processo Civil;</w:t>
      </w:r>
    </w:p>
    <w:p>
      <w:pPr>
        <w:tabs>
          <w:tab w:pos="737" w:val="left"/>
        </w:tabs>
        <w:spacing w:before="0" w:after="160" w:lineRule="auto" w:line="276"/>
        <w:ind w:left="737" w:right="0" w:hanging="737"/>
        <w:jc w:val="both"/>
      </w:pPr>
      <w:r>
        <w:rPr>
          <w:rFonts w:ascii="Arial Narrow" w:hAnsi="Arial Narrow" w:eastAsia="Arial Narrow" w:cs="Arial Narrow"/>
          <w:b/>
          <w:color w:val="1F3864"/>
          <w:sz w:val="24"/>
        </w:rPr>
        <w:t>IV)</w:t>
      </w:r>
      <w:r>
        <w:rPr>
          <w:rFonts w:ascii="Arial Narrow" w:hAnsi="Arial Narrow" w:eastAsia="Arial Narrow" w:cs="Arial Narrow"/>
          <w:sz w:val="24"/>
        </w:rPr>
        <w:tab/>
      </w:r>
      <w:r>
        <w:rPr>
          <w:rFonts w:ascii="Arial Narrow" w:hAnsi="Arial Narrow" w:eastAsia="Arial Narrow" w:cs="Arial Narrow"/>
          <w:b w:val="0"/>
          <w:i w:val="0"/>
          <w:sz w:val="24"/>
        </w:rPr>
        <w:t>A citação das Rés para responderem aos termos da presente ação, sob pena de sofrerem os efeitos da revelia e serem reputados como verdadeiros os fatos alegados nesta inicial, manifestando a Autora interesse na realização de audiência de conciliação (art. 319, VII, do CPC);</w:t>
      </w:r>
    </w:p>
    <w:p>
      <w:pPr>
        <w:tabs>
          <w:tab w:pos="737" w:val="left"/>
        </w:tabs>
        <w:spacing w:before="0" w:after="160" w:lineRule="auto" w:line="276"/>
        <w:ind w:left="737" w:right="0" w:hanging="737"/>
        <w:jc w:val="both"/>
      </w:pPr>
      <w:r>
        <w:rPr>
          <w:rFonts w:ascii="Arial Narrow" w:hAnsi="Arial Narrow" w:eastAsia="Arial Narrow" w:cs="Arial Narrow"/>
          <w:b/>
          <w:color w:val="1F3864"/>
          <w:sz w:val="24"/>
        </w:rPr>
        <w:t>V)</w:t>
      </w:r>
      <w:r>
        <w:rPr>
          <w:rFonts w:ascii="Arial Narrow" w:hAnsi="Arial Narrow" w:eastAsia="Arial Narrow" w:cs="Arial Narrow"/>
          <w:sz w:val="24"/>
        </w:rPr>
        <w:tab/>
      </w:r>
      <w:r>
        <w:rPr>
          <w:rFonts w:ascii="Arial Narrow" w:hAnsi="Arial Narrow" w:eastAsia="Arial Narrow" w:cs="Arial Narrow"/>
          <w:b w:val="0"/>
          <w:i w:val="0"/>
          <w:sz w:val="24"/>
        </w:rPr>
        <w:t>O reconhecimento da relação de consumo e o deferimento da INVERSÃO DO ÔNUS DA PROVA, nos termos do artigo 6º, VIII, do Código de Defesa do Consumidor, determinando-se à terceira Ré que apresente o relatório da vistoria e toda a documentação de regulação do sinistro nº 4372332;</w:t>
      </w:r>
    </w:p>
    <w:p>
      <w:pPr>
        <w:tabs>
          <w:tab w:pos="737" w:val="left"/>
        </w:tabs>
        <w:spacing w:before="0" w:after="160" w:lineRule="auto" w:line="276"/>
        <w:ind w:left="737" w:right="0" w:hanging="737"/>
        <w:jc w:val="both"/>
      </w:pPr>
      <w:r>
        <w:rPr>
          <w:rFonts w:ascii="Arial Narrow" w:hAnsi="Arial Narrow" w:eastAsia="Arial Narrow" w:cs="Arial Narrow"/>
          <w:b/>
          <w:color w:val="1F3864"/>
          <w:sz w:val="24"/>
        </w:rPr>
        <w:t>VI)</w:t>
      </w:r>
      <w:r>
        <w:rPr>
          <w:rFonts w:ascii="Arial Narrow" w:hAnsi="Arial Narrow" w:eastAsia="Arial Narrow" w:cs="Arial Narrow"/>
          <w:sz w:val="24"/>
        </w:rPr>
        <w:tab/>
      </w:r>
      <w:r>
        <w:rPr>
          <w:rFonts w:ascii="Arial Narrow" w:hAnsi="Arial Narrow" w:eastAsia="Arial Narrow" w:cs="Arial Narrow"/>
          <w:b w:val="0"/>
          <w:i w:val="0"/>
          <w:sz w:val="24"/>
        </w:rPr>
        <w:t>Ao final, a PROCEDÊNCIA dos pedidos para:</w:t>
      </w:r>
    </w:p>
    <w:p>
      <w:pPr>
        <w:tabs>
          <w:tab w:pos="1361" w:val="left"/>
        </w:tabs>
        <w:spacing w:before="0" w:after="160" w:lineRule="auto" w:line="276"/>
        <w:ind w:left="1361" w:right="0" w:hanging="454"/>
        <w:jc w:val="both"/>
      </w:pPr>
      <w:r>
        <w:rPr>
          <w:rFonts w:ascii="Arial Narrow" w:hAnsi="Arial Narrow" w:eastAsia="Arial Narrow" w:cs="Arial Narrow"/>
          <w:b/>
          <w:color w:val="1F3864"/>
          <w:sz w:val="24"/>
        </w:rPr>
        <w:t>a)</w:t>
      </w:r>
      <w:r>
        <w:rPr>
          <w:rFonts w:ascii="Arial Narrow" w:hAnsi="Arial Narrow" w:eastAsia="Arial Narrow" w:cs="Arial Narrow"/>
          <w:sz w:val="24"/>
        </w:rPr>
        <w:tab/>
      </w:r>
      <w:r>
        <w:rPr>
          <w:rFonts w:ascii="Arial Narrow" w:hAnsi="Arial Narrow" w:eastAsia="Arial Narrow" w:cs="Arial Narrow"/>
          <w:b w:val="0"/>
          <w:i w:val="0"/>
          <w:sz w:val="24"/>
        </w:rPr>
        <w:t>CONDENAR as Rés, solidariamente, à RESTITUIÇÃO DA QUANTIA PAGA, no valor de R$ 3.729,73 (três mil, setecentos e vinte e nove reais e setenta e três centavos), com correção monetária desde o desembolso (08/08/2024) e juros de mora desde a citação, devendo as Rés, após o pagamento, retirar o refrigerador na residência da Autora no prazo de 30 (trinta) dias, sob pena de perdimento em favor desta;</w:t>
      </w:r>
    </w:p>
    <w:p>
      <w:pPr>
        <w:tabs>
          <w:tab w:pos="1361" w:val="left"/>
        </w:tabs>
        <w:spacing w:before="0" w:after="160" w:lineRule="auto" w:line="276"/>
        <w:ind w:left="1361" w:right="0" w:hanging="454"/>
        <w:jc w:val="both"/>
      </w:pPr>
      <w:r>
        <w:rPr>
          <w:rFonts w:ascii="Arial Narrow" w:hAnsi="Arial Narrow" w:eastAsia="Arial Narrow" w:cs="Arial Narrow"/>
          <w:b/>
          <w:color w:val="1F3864"/>
          <w:sz w:val="24"/>
        </w:rPr>
        <w:t>b)</w:t>
      </w:r>
      <w:r>
        <w:rPr>
          <w:rFonts w:ascii="Arial Narrow" w:hAnsi="Arial Narrow" w:eastAsia="Arial Narrow" w:cs="Arial Narrow"/>
          <w:sz w:val="24"/>
        </w:rPr>
        <w:tab/>
      </w:r>
      <w:r>
        <w:rPr>
          <w:rFonts w:ascii="Arial Narrow" w:hAnsi="Arial Narrow" w:eastAsia="Arial Narrow" w:cs="Arial Narrow"/>
          <w:b w:val="0"/>
          <w:i w:val="0"/>
          <w:sz w:val="24"/>
        </w:rPr>
        <w:t>Subsidiariamente, CONDENAR as Rés, solidariamente, à SUBSTITUIÇÃO do refrigerador por outro novo, da mesma espécie e em perfeitas condições de uso, ou de espécie, marca ou modelo diversos, sem ônus para a Autora (art. 18, § 1º, I, e § 4º, do CDC), ou, ainda subsidiariamente, ao pagamento da INDENIZAÇÃO SECURITÁRIA até o limite de R$ 3.699,73;</w:t>
      </w:r>
    </w:p>
    <w:p>
      <w:pPr>
        <w:tabs>
          <w:tab w:pos="1361" w:val="left"/>
        </w:tabs>
        <w:spacing w:before="0" w:after="160" w:lineRule="auto" w:line="276"/>
        <w:ind w:left="1361" w:right="0" w:hanging="454"/>
        <w:jc w:val="both"/>
      </w:pPr>
      <w:r>
        <w:rPr>
          <w:rFonts w:ascii="Arial Narrow" w:hAnsi="Arial Narrow" w:eastAsia="Arial Narrow" w:cs="Arial Narrow"/>
          <w:b/>
          <w:color w:val="1F3864"/>
          <w:sz w:val="24"/>
        </w:rPr>
        <w:t>c)</w:t>
      </w:r>
      <w:r>
        <w:rPr>
          <w:rFonts w:ascii="Arial Narrow" w:hAnsi="Arial Narrow" w:eastAsia="Arial Narrow" w:cs="Arial Narrow"/>
          <w:sz w:val="24"/>
        </w:rPr>
        <w:tab/>
      </w:r>
      <w:r>
        <w:rPr>
          <w:rFonts w:ascii="Arial Narrow" w:hAnsi="Arial Narrow" w:eastAsia="Arial Narrow" w:cs="Arial Narrow"/>
          <w:b w:val="0"/>
          <w:i w:val="0"/>
          <w:sz w:val="24"/>
        </w:rPr>
        <w:t>CONDENAR as Rés, solidariamente, a reparar os DANOS MORAIS sofridos pela Autora, em valor não inferior a R$ 5.000,00 (cinco mil reais);</w:t>
      </w:r>
    </w:p>
    <w:p>
      <w:pPr>
        <w:tabs>
          <w:tab w:pos="1361" w:val="left"/>
        </w:tabs>
        <w:spacing w:before="0" w:after="160" w:lineRule="auto" w:line="276"/>
        <w:ind w:left="1361" w:right="0" w:hanging="454"/>
        <w:jc w:val="both"/>
      </w:pPr>
      <w:r>
        <w:rPr>
          <w:rFonts w:ascii="Arial Narrow" w:hAnsi="Arial Narrow" w:eastAsia="Arial Narrow" w:cs="Arial Narrow"/>
          <w:b/>
          <w:color w:val="1F3864"/>
          <w:sz w:val="24"/>
        </w:rPr>
        <w:t>d)</w:t>
      </w:r>
      <w:r>
        <w:rPr>
          <w:rFonts w:ascii="Arial Narrow" w:hAnsi="Arial Narrow" w:eastAsia="Arial Narrow" w:cs="Arial Narrow"/>
          <w:sz w:val="24"/>
        </w:rPr>
        <w:tab/>
      </w:r>
      <w:r>
        <w:rPr>
          <w:rFonts w:ascii="Arial Narrow" w:hAnsi="Arial Narrow" w:eastAsia="Arial Narrow" w:cs="Arial Narrow"/>
          <w:b w:val="0"/>
          <w:i w:val="0"/>
          <w:sz w:val="24"/>
        </w:rPr>
        <w:t>CONDENAR as Rés ao pagamento das custas processuais e dos honorários advocatícios de sucumbência, na base de 20% (vinte por cento) sobre o valor da condenação;</w:t>
      </w:r>
    </w:p>
    <w:p>
      <w:pPr>
        <w:tabs>
          <w:tab w:pos="737" w:val="left"/>
        </w:tabs>
        <w:spacing w:before="0" w:after="160" w:lineRule="auto" w:line="276"/>
        <w:ind w:left="737" w:right="0" w:hanging="737"/>
        <w:jc w:val="both"/>
      </w:pPr>
      <w:r>
        <w:rPr>
          <w:rFonts w:ascii="Arial Narrow" w:hAnsi="Arial Narrow" w:eastAsia="Arial Narrow" w:cs="Arial Narrow"/>
          <w:b/>
          <w:color w:val="1F3864"/>
          <w:sz w:val="24"/>
        </w:rPr>
        <w:t>VII)</w:t>
      </w:r>
      <w:r>
        <w:rPr>
          <w:rFonts w:ascii="Arial Narrow" w:hAnsi="Arial Narrow" w:eastAsia="Arial Narrow" w:cs="Arial Narrow"/>
          <w:sz w:val="24"/>
        </w:rPr>
        <w:tab/>
      </w:r>
      <w:r>
        <w:rPr>
          <w:rFonts w:ascii="Arial Narrow" w:hAnsi="Arial Narrow" w:eastAsia="Arial Narrow" w:cs="Arial Narrow"/>
          <w:b w:val="0"/>
          <w:i w:val="0"/>
          <w:sz w:val="24"/>
        </w:rPr>
        <w:t>A produção de todos os meios de prova admitidos em direito, especialmente documental, depoimento pessoal dos representantes das Rés, testemunhal e pericial, se necessária.</w:t>
      </w:r>
    </w:p>
    <w:p>
      <w:pPr>
        <w:spacing w:before="0" w:after="240" w:lineRule="auto" w:line="276"/>
        <w:ind w:firstLine="2835" w:left="0" w:right="0"/>
        <w:jc w:val="both"/>
      </w:pPr>
      <w:r>
        <w:rPr>
          <w:sz w:val="24"/>
        </w:rPr>
      </w:r>
      <w:r>
        <w:rPr>
          <w:rFonts w:ascii="Arial Narrow" w:hAnsi="Arial Narrow" w:eastAsia="Arial Narrow"/>
          <w:b w:val="0"/>
          <w:i w:val="0"/>
          <w:sz w:val="24"/>
        </w:rPr>
        <w:t>Dá-se à causa, para efeitos processuais, o valor de R$ 8.729,73 (oito mil, setecentos e vinte e nove reais e setenta e três centavos).</w:t>
      </w:r>
    </w:p>
    <w:p w14:paraId="0A9A2050" w14:textId="47DEB510" w:rsidR="009F5F5F" w:rsidRPr="008D5C67" w:rsidRDefault="009F5F5F" w:rsidP="00C07418">
      <w:pPr>
        <w:suppressAutoHyphens/>
        <w:jc w:val="both"/>
        <w:rPr>
          <w:rFonts w:ascii="Arial Narrow" w:hAnsi="Arial Narrow" w:eastAsia="Arial Narrow" w:cs="Arial"/>
          <w:sz w:val="24"/>
          <w:szCs w:val="24"/>
        </w:rPr>
      </w:pPr>
      <w:r>
        <w:rPr>
          <w:rFonts w:ascii="Arial Narrow" w:hAnsi="Arial Narrow" w:eastAsia="Arial Narrow" w:cs="Arial"/>
          <w:sz w:val="24"/>
          <w:szCs w:val="24"/>
        </w:rPr>
        <w:t xml:space="preserve">Nestes termos, </w:t>
      </w:r>
    </w:p>
    <w:p w14:paraId="19C2B0F9" w14:textId="4457A578" w:rsidR="009F5F5F" w:rsidRPr="008D5C67" w:rsidRDefault="009F5F5F" w:rsidP="00C07418">
      <w:pPr>
        <w:suppressAutoHyphens/>
        <w:jc w:val="both"/>
        <w:rPr>
          <w:rFonts w:ascii="Arial Narrow" w:hAnsi="Arial Narrow" w:eastAsia="Arial Narrow" w:cs="Arial"/>
          <w:sz w:val="24"/>
          <w:szCs w:val="24"/>
        </w:rPr>
      </w:pPr>
      <w:r>
        <w:rPr>
          <w:rFonts w:ascii="Arial Narrow" w:hAnsi="Arial Narrow" w:eastAsia="Arial Narrow" w:cs="Arial"/>
          <w:sz w:val="24"/>
          <w:szCs w:val="24"/>
        </w:rPr>
        <w:t xml:space="preserve">pede deferimento. </w:t>
      </w:r>
    </w:p>
    <w:p w14:paraId="48BE549C" w14:textId="77777777" w:rsidR="00BC4C8B" w:rsidRPr="008D5C67" w:rsidRDefault="00BC4C8B" w:rsidP="00C07418">
      <w:pPr>
        <w:suppressAutoHyphens/>
        <w:jc w:val="center"/>
        <w:rPr>
          <w:rFonts w:ascii="Arial Narrow" w:hAnsi="Arial Narrow" w:eastAsia="Arial Narrow" w:cs="Arial"/>
          <w:sz w:val="24"/>
          <w:szCs w:val="24"/>
        </w:rPr>
      </w:pPr>
    </w:p>
    <w:p w14:paraId="2E57CC79" w14:textId="69BE57CE" w:rsidR="009F5F5F" w:rsidRPr="008D5C67" w:rsidRDefault="009F5F5F" w:rsidP="00C07418">
      <w:pPr>
        <w:suppressAutoHyphens/>
        <w:jc w:val="center"/>
        <w:rPr>
          <w:rFonts w:ascii="Arial Narrow" w:hAnsi="Arial Narrow" w:eastAsia="Arial Narrow" w:cs="Arial"/>
          <w:sz w:val="24"/>
          <w:szCs w:val="24"/>
        </w:rPr>
      </w:pPr>
      <w:r>
        <w:rPr>
          <w:rFonts w:ascii="Arial Narrow" w:hAnsi="Arial Narrow" w:eastAsia="Arial Narrow" w:cs="Arial"/>
          <w:sz w:val="24"/>
          <w:szCs w:val="24"/>
        </w:rPr>
        <w:t xml:space="preserve">Curitiba, 14 de outubro de 2026.</w:t>
      </w:r>
    </w:p>
    <w:p w14:paraId="19E99DBB" w14:textId="77777777" w:rsidR="006C4796" w:rsidRDefault="006C4796" w:rsidP="00C07418">
      <w:pPr>
        <w:suppressAutoHyphens/>
        <w:jc w:val="center"/>
        <w:rPr>
          <w:rFonts w:ascii="Arial Narrow" w:hAnsi="Arial Narrow" w:eastAsia="Arial Narrow" w:cs="Arial"/>
          <w:sz w:val="24"/>
          <w:szCs w:val="24"/>
        </w:rPr>
      </w:pPr>
    </w:p>
    <w:p w14:paraId="1C087823" w14:textId="77777777" w:rsidR="00F5267D" w:rsidRDefault="00F5267D" w:rsidP="00C07418">
      <w:pPr>
        <w:suppressAutoHyphens/>
        <w:jc w:val="center"/>
        <w:rPr>
          <w:rFonts w:ascii="Arial Narrow" w:hAnsi="Arial Narrow" w:eastAsia="Arial Narrow" w:cs="Arial"/>
          <w:sz w:val="24"/>
          <w:szCs w:val="24"/>
        </w:rPr>
      </w:pPr>
    </w:p>
    <w:p w14:paraId="6003BEEC" w14:textId="31AA93D5" w:rsidR="00F5267D" w:rsidRDefault="00F5267D" w:rsidP="00F5267D">
      <w:pPr>
        <w:pStyle w:val="Cabealho"/>
        <w:tabs>
          <w:tab w:val="center" w:pos="4535"/>
          <w:tab w:val="left" w:pos="6987"/>
        </w:tabs>
        <w:jc w:val="center"/>
        <w:rPr>
          <w:rFonts w:ascii="Arial Narrow" w:hAnsi="Arial Narrow" w:eastAsia="Arial Narrow" w:cs="Arial"/>
          <w:sz w:val="24"/>
          <w:szCs w:val="24"/>
        </w:rPr>
      </w:pPr>
      <w:r>
        <w:rPr>
          <w:rFonts w:ascii="Arial Narrow" w:hAnsi="Arial Narrow" w:eastAsia="Arial Narrow" w:cs="Arial"/>
          <w:sz w:val="24"/>
          <w:szCs w:val="24"/>
        </w:rPr>
        <w:t xml:space="preserve">Roberto Elias Rodrigues             </w:t>
        <w:tab/>
        <w:t xml:space="preserve"> Guilherme Tkaczuk Artin</w:t>
      </w:r>
    </w:p>
    <w:p w14:paraId="020A2557" w14:textId="670BFB43" w:rsidR="009F5F5F" w:rsidRPr="008D5C67" w:rsidRDefault="00F5267D" w:rsidP="00F5267D">
      <w:pPr>
        <w:pStyle w:val="Cabealho"/>
        <w:tabs>
          <w:tab w:val="center" w:pos="4535"/>
          <w:tab w:val="left" w:pos="6987"/>
        </w:tabs>
        <w:jc w:val="center"/>
        <w:rPr>
          <w:rFonts w:ascii="Arial Narrow" w:hAnsi="Arial Narrow" w:eastAsia="Arial Narrow" w:cs="Arial"/>
          <w:sz w:val="24"/>
          <w:szCs w:val="24"/>
        </w:rPr>
      </w:pPr>
      <w:r>
        <w:rPr>
          <w:rFonts w:ascii="Arial Narrow" w:hAnsi="Arial Narrow" w:eastAsia="Arial Narrow" w:cs="Arial"/>
          <w:sz w:val="24"/>
          <w:szCs w:val="24"/>
        </w:rPr>
        <w:t xml:space="preserve">OAB/PR 92.773                             OAB-PR 95.843</w:t>
      </w:r>
    </w:p>
    <w:sectPr w:rsidR="009F5F5F" w:rsidRPr="008D5C67" w:rsidSect="00122C42">
      <w:headerReference w:type="default" r:id="rId8"/>
      <w:footerReference w:type="default" r:id="rId9"/>
      <w:type w:val="continuous"/>
      <w:pgSz w:w="11906" w:h="16838"/>
      <w:pgMar w:top="1701" w:right="1701" w:bottom="1701" w:left="1701" w:header="567" w:footer="5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5274C" w14:textId="77777777" w:rsidR="00C016DA" w:rsidRDefault="00C016DA">
      <w:r>
        <w:separator/>
      </w:r>
    </w:p>
  </w:endnote>
  <w:endnote w:type="continuationSeparator" w:id="0">
    <w:p w14:paraId="420157FB" w14:textId="77777777" w:rsidR="00C016DA" w:rsidRDefault="00C01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A16E1" w14:textId="76FC9797" w:rsidR="00B6138B" w:rsidRDefault="00B6138B" w:rsidP="00B6138B">
    <w:pPr>
      <w:pStyle w:val="Rodap"/>
      <w:spacing w:line="240" w:lineRule="auto"/>
      <w:jc w:val="center"/>
      <w:rPr>
        <w:rFonts w:ascii="Cambria" w:hAnsi="Cambria"/>
        <w:i/>
        <w:iCs/>
      </w:rPr>
    </w:pPr>
    <w:r>
      <w:rPr>
        <w:noProof/>
      </w:rPr>
      <mc:AlternateContent>
        <mc:Choice Requires="wps">
          <w:drawing>
            <wp:anchor distT="0" distB="0" distL="114300" distR="114300" simplePos="0" relativeHeight="251668480" behindDoc="0" locked="0" layoutInCell="1" allowOverlap="1" wp14:anchorId="535084C0" wp14:editId="481F6522">
              <wp:simplePos x="0" y="0"/>
              <wp:positionH relativeFrom="margin">
                <wp:align>right</wp:align>
              </wp:positionH>
              <wp:positionV relativeFrom="paragraph">
                <wp:posOffset>132715</wp:posOffset>
              </wp:positionV>
              <wp:extent cx="5400000" cy="0"/>
              <wp:effectExtent l="0" t="19050" r="29845" b="19050"/>
              <wp:wrapNone/>
              <wp:docPr id="340139183" name="Conector reto 2"/>
              <wp:cNvGraphicFramePr/>
              <a:graphic xmlns:a="http://schemas.openxmlformats.org/drawingml/2006/main">
                <a:graphicData uri="http://schemas.microsoft.com/office/word/2010/wordprocessingShape">
                  <wps:wsp>
                    <wps:cNvCnPr/>
                    <wps:spPr>
                      <a:xfrm flipV="1">
                        <a:off x="0" y="0"/>
                        <a:ext cx="5400000" cy="0"/>
                      </a:xfrm>
                      <a:prstGeom prst="line">
                        <a:avLst/>
                      </a:prstGeom>
                      <a:ln w="444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271EB" id="Conector reto 2" o:spid="_x0000_s1026" style="position:absolute;flip:y;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4pt,10.45pt" to="799.2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" strokecolor="black [3213]" strokeweight="3.5pt">
              <v:stroke joinstyle="miter"/>
              <w10:wrap anchorx="margin"/>
            </v:line>
          </w:pict>
        </mc:Fallback>
      </mc:AlternateContent>
    </w:r>
  </w:p>
  <w:p w14:paraId="4209AD40" w14:textId="7ED84130" w:rsidR="00982538" w:rsidRDefault="0064403B" w:rsidP="00B6138B">
    <w:pPr>
      <w:pStyle w:val="Rodap"/>
      <w:spacing w:after="0" w:line="240" w:lineRule="auto"/>
      <w:jc w:val="center"/>
      <w:rPr>
        <w:rFonts w:ascii="Cambria" w:hAnsi="Cambria"/>
        <w:i/>
        <w:iCs/>
      </w:rPr>
    </w:pPr>
    <w:r>
      <w:rPr>
        <w:rFonts w:ascii="Cambria" w:hAnsi="Cambria"/>
        <w:i/>
        <w:iCs/>
      </w:rPr>
      <w:t>Endereço:</w:t>
    </w:r>
    <w:r w:rsidR="00982538" w:rsidRPr="00066FD2">
      <w:rPr>
        <w:rFonts w:ascii="Cambria" w:hAnsi="Cambria"/>
        <w:i/>
        <w:iCs/>
      </w:rPr>
      <w:t xml:space="preserve"> </w:t>
    </w:r>
    <w:r w:rsidR="00496889" w:rsidRPr="00496889">
      <w:rPr>
        <w:rFonts w:ascii="Cambria" w:hAnsi="Cambria"/>
        <w:i/>
        <w:iCs/>
      </w:rPr>
      <w:t>Rua João Enéas Ramos de Sá, nº 693, Bairro Tatuquara, CEP n° 81.470-085</w:t>
    </w:r>
  </w:p>
  <w:p w14:paraId="0C0F978C" w14:textId="785E4FE2" w:rsidR="00E76936" w:rsidRPr="00496889" w:rsidRDefault="00E76936" w:rsidP="00B6138B">
    <w:pPr>
      <w:pStyle w:val="Rodap"/>
      <w:spacing w:after="0" w:line="240" w:lineRule="auto"/>
      <w:jc w:val="center"/>
      <w:rPr>
        <w:rFonts w:ascii="Cambria" w:hAnsi="Cambria"/>
        <w:i/>
        <w:iCs/>
      </w:rPr>
    </w:pPr>
    <w:r w:rsidRPr="00496889">
      <w:rPr>
        <w:rFonts w:ascii="Cambria" w:hAnsi="Cambria"/>
        <w:i/>
        <w:iCs/>
      </w:rPr>
      <w:t xml:space="preserve">Email: </w:t>
    </w:r>
    <w:hyperlink r:id="rId1" w:history="1">
      <w:r w:rsidR="00496889" w:rsidRPr="00496889">
        <w:rPr>
          <w:rFonts w:ascii="Cambria" w:hAnsi="Cambria"/>
          <w:i/>
          <w:iCs/>
        </w:rPr>
        <w:t>robertorodriguesadv@outlook.com</w:t>
      </w:r>
    </w:hyperlink>
    <w:r w:rsidRPr="00496889">
      <w:rPr>
        <w:rFonts w:ascii="Cambria" w:hAnsi="Cambria"/>
        <w:i/>
        <w:iCs/>
      </w:rPr>
      <w:t xml:space="preserve"> / guiartin@hotmail.com</w:t>
    </w:r>
  </w:p>
  <w:p w14:paraId="7ED82196" w14:textId="4710F3DB" w:rsidR="00066FD2" w:rsidRPr="00496889" w:rsidRDefault="00066FD2" w:rsidP="00B6138B">
    <w:pPr>
      <w:pStyle w:val="Rodap"/>
      <w:spacing w:after="0" w:line="240" w:lineRule="auto"/>
      <w:jc w:val="center"/>
      <w:rPr>
        <w:rFonts w:ascii="Cambria" w:hAnsi="Cambria"/>
        <w:i/>
        <w:iCs/>
      </w:rPr>
    </w:pPr>
    <w:r>
      <w:rPr>
        <w:rFonts w:ascii="Cambria" w:hAnsi="Cambria"/>
        <w:i/>
        <w:iCs/>
      </w:rPr>
      <w:t xml:space="preserve">Telefone: (41) </w:t>
    </w:r>
    <w:r w:rsidR="00496889" w:rsidRPr="00496889">
      <w:rPr>
        <w:rFonts w:ascii="Cambria" w:hAnsi="Cambria"/>
        <w:i/>
        <w:iCs/>
      </w:rPr>
      <w:t>9 9988-9075</w:t>
    </w:r>
    <w:r w:rsidR="00CD7BC9">
      <w:rPr>
        <w:rFonts w:ascii="Cambria" w:hAnsi="Cambria"/>
        <w:i/>
        <w:iCs/>
      </w:rPr>
      <w:t xml:space="preserve">/ </w:t>
    </w:r>
    <w:r>
      <w:rPr>
        <w:rFonts w:ascii="Cambria" w:hAnsi="Cambria"/>
        <w:i/>
        <w:iCs/>
      </w:rPr>
      <w:t>99573-9925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35647" w14:textId="77777777" w:rsidR="00C016DA" w:rsidRDefault="00C016DA">
      <w:r>
        <w:rPr>
          <w:color w:val="000000"/>
        </w:rPr>
        <w:separator/>
      </w:r>
    </w:p>
  </w:footnote>
  <w:footnote w:type="continuationSeparator" w:id="0">
    <w:p w14:paraId="5DEEA951" w14:textId="77777777" w:rsidR="00C016DA" w:rsidRDefault="00C01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6FB1" w14:textId="6AE3798C" w:rsidR="00982538" w:rsidRPr="00066FD2" w:rsidRDefault="004342C5" w:rsidP="00E7693A">
    <w:pPr>
      <w:pStyle w:val="Rodap"/>
      <w:tabs>
        <w:tab w:val="clear" w:pos="8504"/>
        <w:tab w:val="right" w:pos="8080"/>
      </w:tabs>
      <w:spacing w:after="0"/>
      <w:ind w:right="142"/>
      <w:jc w:val="right"/>
      <w:rPr>
        <w:rFonts w:ascii="Cambria" w:hAnsi="Cambria" w:cstheme="majorHAnsi"/>
        <w:i/>
        <w:iCs/>
        <w:sz w:val="24"/>
        <w:szCs w:val="24"/>
      </w:rPr>
    </w:pPr>
    <w:r w:rsidRPr="00066FD2">
      <w:rPr>
        <w:rFonts w:ascii="Cambria" w:hAnsi="Cambria" w:cstheme="majorHAnsi"/>
        <w:i/>
        <w:iCs/>
        <w:noProof/>
        <w:sz w:val="24"/>
        <w:szCs w:val="24"/>
      </w:rPr>
      <w:drawing>
        <wp:anchor distT="0" distB="0" distL="114300" distR="114300" simplePos="0" relativeHeight="251664384" behindDoc="1" locked="0" layoutInCell="1" allowOverlap="1" wp14:anchorId="3F7FD4A7" wp14:editId="37E3DE27">
          <wp:simplePos x="0" y="0"/>
          <wp:positionH relativeFrom="margin">
            <wp:posOffset>34290</wp:posOffset>
          </wp:positionH>
          <wp:positionV relativeFrom="page">
            <wp:posOffset>387985</wp:posOffset>
          </wp:positionV>
          <wp:extent cx="751840" cy="755600"/>
          <wp:effectExtent l="0" t="0" r="0" b="6985"/>
          <wp:wrapNone/>
          <wp:docPr id="10194952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26043" name="Imagem 926426043"/>
                  <pic:cNvPicPr/>
                </pic:nvPicPr>
                <pic:blipFill rotWithShape="1">
                  <a:blip r:embed="rId1" cstate="print">
                    <a:extLst>
                      <a:ext uri="{28A0092B-C50C-407E-A947-70E740481C1C}">
                        <a14:useLocalDpi xmlns:a14="http://schemas.microsoft.com/office/drawing/2010/main" val="0"/>
                      </a:ext>
                    </a:extLst>
                  </a:blip>
                  <a:srcRect l="29177" t="22498" r="29166" b="35669"/>
                  <a:stretch/>
                </pic:blipFill>
                <pic:spPr bwMode="auto">
                  <a:xfrm>
                    <a:off x="0" y="0"/>
                    <a:ext cx="751840" cy="75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567EBF" w14:textId="1E9CCFC5" w:rsidR="00982538" w:rsidRPr="00066FD2" w:rsidRDefault="0068001E" w:rsidP="00E7693A">
    <w:pPr>
      <w:pStyle w:val="Rodap"/>
      <w:tabs>
        <w:tab w:val="clear" w:pos="4252"/>
        <w:tab w:val="clear" w:pos="8504"/>
        <w:tab w:val="center" w:pos="3828"/>
        <w:tab w:val="right" w:pos="8080"/>
      </w:tabs>
      <w:spacing w:after="0"/>
      <w:ind w:right="142"/>
      <w:jc w:val="right"/>
      <w:rPr>
        <w:rFonts w:ascii="Cambria" w:hAnsi="Cambria" w:cstheme="majorHAnsi"/>
        <w:i/>
        <w:iCs/>
        <w:sz w:val="24"/>
        <w:szCs w:val="24"/>
      </w:rPr>
    </w:pPr>
    <w:r w:rsidRPr="00066FD2">
      <w:rPr>
        <w:rFonts w:ascii="Cambria" w:hAnsi="Cambria" w:cstheme="majorHAnsi"/>
        <w:i/>
        <w:iCs/>
        <w:sz w:val="24"/>
        <w:szCs w:val="24"/>
      </w:rPr>
      <w:t xml:space="preserve">Guilherme Tkaczuk Artin </w:t>
    </w:r>
  </w:p>
  <w:p w14:paraId="33B52194" w14:textId="26E7190F" w:rsidR="008D5C67" w:rsidRDefault="008D5C67" w:rsidP="00E7693A">
    <w:pPr>
      <w:pStyle w:val="Rodap"/>
      <w:tabs>
        <w:tab w:val="clear" w:pos="4252"/>
        <w:tab w:val="clear" w:pos="8504"/>
        <w:tab w:val="center" w:pos="3828"/>
        <w:tab w:val="right" w:pos="8080"/>
      </w:tabs>
      <w:spacing w:after="0"/>
      <w:ind w:right="142"/>
      <w:jc w:val="right"/>
      <w:rPr>
        <w:rFonts w:ascii="Cambria" w:hAnsi="Cambria" w:cstheme="majorHAnsi"/>
        <w:i/>
        <w:iCs/>
        <w:sz w:val="24"/>
        <w:szCs w:val="24"/>
      </w:rPr>
    </w:pPr>
    <w:r w:rsidRPr="00066FD2">
      <w:rPr>
        <w:rFonts w:ascii="Cambria" w:hAnsi="Cambria" w:cstheme="majorHAnsi"/>
        <w:i/>
        <w:iCs/>
        <w:sz w:val="24"/>
        <w:szCs w:val="24"/>
      </w:rPr>
      <w:t>OAB/PR 95.843</w:t>
    </w:r>
  </w:p>
  <w:p w14:paraId="1AFD05AC" w14:textId="64070489" w:rsidR="008D5C67" w:rsidRDefault="008D5C67" w:rsidP="00E7693A">
    <w:pPr>
      <w:pStyle w:val="Rodap"/>
      <w:tabs>
        <w:tab w:val="clear" w:pos="4252"/>
        <w:tab w:val="clear" w:pos="8504"/>
        <w:tab w:val="center" w:pos="3828"/>
        <w:tab w:val="right" w:pos="8080"/>
      </w:tabs>
      <w:spacing w:after="0"/>
      <w:ind w:right="142"/>
      <w:jc w:val="right"/>
      <w:rPr>
        <w:rFonts w:ascii="Cambria" w:hAnsi="Cambria" w:cstheme="majorHAnsi"/>
        <w:i/>
        <w:iCs/>
        <w:sz w:val="24"/>
        <w:szCs w:val="24"/>
      </w:rPr>
    </w:pPr>
    <w:r w:rsidRPr="008D5C67">
      <w:rPr>
        <w:rFonts w:ascii="Cambria" w:hAnsi="Cambria" w:cstheme="majorHAnsi"/>
        <w:i/>
        <w:iCs/>
        <w:sz w:val="24"/>
        <w:szCs w:val="24"/>
      </w:rPr>
      <w:t>Roberto Elias Rodrigues</w:t>
    </w:r>
  </w:p>
  <w:p w14:paraId="515D6BDB" w14:textId="4DD778B2" w:rsidR="001A2C3D" w:rsidRDefault="004342C5" w:rsidP="00E7693A">
    <w:pPr>
      <w:pStyle w:val="Rodap"/>
      <w:tabs>
        <w:tab w:val="clear" w:pos="4252"/>
        <w:tab w:val="clear" w:pos="8504"/>
        <w:tab w:val="center" w:pos="3828"/>
        <w:tab w:val="right" w:pos="8080"/>
      </w:tabs>
      <w:spacing w:after="0"/>
      <w:ind w:right="142"/>
      <w:jc w:val="right"/>
      <w:rPr>
        <w:rFonts w:ascii="Cambria" w:hAnsi="Cambria" w:cstheme="majorHAnsi"/>
        <w:i/>
        <w:iCs/>
        <w:sz w:val="24"/>
        <w:szCs w:val="24"/>
      </w:rPr>
    </w:pPr>
    <w:r>
      <w:rPr>
        <w:noProof/>
      </w:rPr>
      <mc:AlternateContent>
        <mc:Choice Requires="wps">
          <w:drawing>
            <wp:anchor distT="0" distB="0" distL="114300" distR="114300" simplePos="0" relativeHeight="251666432" behindDoc="0" locked="0" layoutInCell="1" allowOverlap="1" wp14:anchorId="3AC963CD" wp14:editId="2DD74842">
              <wp:simplePos x="0" y="0"/>
              <wp:positionH relativeFrom="margin">
                <wp:align>right</wp:align>
              </wp:positionH>
              <wp:positionV relativeFrom="paragraph">
                <wp:posOffset>200660</wp:posOffset>
              </wp:positionV>
              <wp:extent cx="5400000" cy="0"/>
              <wp:effectExtent l="0" t="19050" r="29845" b="19050"/>
              <wp:wrapNone/>
              <wp:docPr id="1774611444" name="Conector reto 2"/>
              <wp:cNvGraphicFramePr/>
              <a:graphic xmlns:a="http://schemas.openxmlformats.org/drawingml/2006/main">
                <a:graphicData uri="http://schemas.microsoft.com/office/word/2010/wordprocessingShape">
                  <wps:wsp>
                    <wps:cNvCnPr/>
                    <wps:spPr>
                      <a:xfrm flipV="1">
                        <a:off x="0" y="0"/>
                        <a:ext cx="5400000" cy="0"/>
                      </a:xfrm>
                      <a:prstGeom prst="line">
                        <a:avLst/>
                      </a:prstGeom>
                      <a:ln w="444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5B3F4" id="Conector reto 2" o:spid="_x0000_s1026" style="position:absolute;flip:y;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4pt,15.8pt" to="799.2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" strokecolor="black [3213]" strokeweight="3.5pt">
              <v:stroke joinstyle="miter"/>
              <w10:wrap anchorx="margin"/>
            </v:line>
          </w:pict>
        </mc:Fallback>
      </mc:AlternateContent>
    </w:r>
    <w:r w:rsidR="0068001E" w:rsidRPr="00066FD2">
      <w:rPr>
        <w:rFonts w:ascii="Cambria" w:hAnsi="Cambria" w:cstheme="majorHAnsi"/>
        <w:i/>
        <w:iCs/>
        <w:sz w:val="24"/>
        <w:szCs w:val="24"/>
      </w:rPr>
      <w:t>OAB/PR 9</w:t>
    </w:r>
    <w:r w:rsidR="008D5C67">
      <w:rPr>
        <w:rFonts w:ascii="Cambria" w:hAnsi="Cambria" w:cstheme="majorHAnsi"/>
        <w:i/>
        <w:iCs/>
        <w:sz w:val="24"/>
        <w:szCs w:val="24"/>
      </w:rPr>
      <w:t>2.773</w:t>
    </w:r>
  </w:p>
  <w:p w14:paraId="510C97C9" w14:textId="77777777" w:rsidR="008D5C67" w:rsidRDefault="008D5C67" w:rsidP="00E7693A">
    <w:pPr>
      <w:pStyle w:val="Rodap"/>
      <w:tabs>
        <w:tab w:val="clear" w:pos="4252"/>
        <w:tab w:val="clear" w:pos="8504"/>
        <w:tab w:val="center" w:pos="3828"/>
        <w:tab w:val="right" w:pos="8080"/>
      </w:tabs>
      <w:spacing w:after="0"/>
      <w:ind w:right="142"/>
      <w:jc w:val="right"/>
      <w:rPr>
        <w:rFonts w:ascii="Cambria" w:hAnsi="Cambria" w:cstheme="majorHAnsi"/>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166B"/>
    <w:multiLevelType w:val="multilevel"/>
    <w:tmpl w:val="9148FB9A"/>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3176AE"/>
    <w:multiLevelType w:val="hybridMultilevel"/>
    <w:tmpl w:val="DC0EC40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724DD0"/>
    <w:multiLevelType w:val="multilevel"/>
    <w:tmpl w:val="F98061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84719"/>
    <w:multiLevelType w:val="hybridMultilevel"/>
    <w:tmpl w:val="9616342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39909BC"/>
    <w:multiLevelType w:val="hybridMultilevel"/>
    <w:tmpl w:val="5D1EC8A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9522210"/>
    <w:multiLevelType w:val="multilevel"/>
    <w:tmpl w:val="CDD6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761F8"/>
    <w:multiLevelType w:val="multilevel"/>
    <w:tmpl w:val="EA0C89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F24695B"/>
    <w:multiLevelType w:val="multilevel"/>
    <w:tmpl w:val="06E26DC6"/>
    <w:styleLink w:val="WWNum3"/>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22221C4E"/>
    <w:multiLevelType w:val="multilevel"/>
    <w:tmpl w:val="42F29D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F4010"/>
    <w:multiLevelType w:val="multilevel"/>
    <w:tmpl w:val="EA0C89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99A45CF"/>
    <w:multiLevelType w:val="hybridMultilevel"/>
    <w:tmpl w:val="A89AB9E6"/>
    <w:lvl w:ilvl="0" w:tplc="04160009">
      <w:start w:val="1"/>
      <w:numFmt w:val="bullet"/>
      <w:lvlText w:val=""/>
      <w:lvlJc w:val="left"/>
      <w:pPr>
        <w:ind w:left="720" w:hanging="360"/>
      </w:pPr>
      <w:rPr>
        <w:rFonts w:ascii="Wingdings" w:hAnsi="Wingdings" w:hint="default"/>
      </w:rPr>
    </w:lvl>
    <w:lvl w:ilvl="1" w:tplc="0416000B">
      <w:start w:val="1"/>
      <w:numFmt w:val="bullet"/>
      <w:lvlText w:val=""/>
      <w:lvlJc w:val="left"/>
      <w:pPr>
        <w:ind w:left="1440" w:hanging="360"/>
      </w:pPr>
      <w:rPr>
        <w:rFonts w:ascii="Wingdings" w:hAnsi="Wingdings" w:hint="default"/>
      </w:rPr>
    </w:lvl>
    <w:lvl w:ilvl="2" w:tplc="0416000B">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344644D"/>
    <w:multiLevelType w:val="hybridMultilevel"/>
    <w:tmpl w:val="69E4C8B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9A6489E"/>
    <w:multiLevelType w:val="hybridMultilevel"/>
    <w:tmpl w:val="3998F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D982D4B"/>
    <w:multiLevelType w:val="hybridMultilevel"/>
    <w:tmpl w:val="7938D84E"/>
    <w:lvl w:ilvl="0" w:tplc="FFFFFFFF">
      <w:start w:val="1"/>
      <w:numFmt w:val="bullet"/>
      <w:lvlText w:val=""/>
      <w:lvlJc w:val="left"/>
      <w:pPr>
        <w:ind w:left="720" w:hanging="360"/>
      </w:pPr>
      <w:rPr>
        <w:rFonts w:ascii="Wingdings" w:hAnsi="Wingdings" w:hint="default"/>
      </w:rPr>
    </w:lvl>
    <w:lvl w:ilvl="1" w:tplc="0416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126FE9"/>
    <w:multiLevelType w:val="multilevel"/>
    <w:tmpl w:val="FF2CF384"/>
    <w:styleLink w:val="Semlista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5" w15:restartNumberingAfterBreak="0">
    <w:nsid w:val="415A5A20"/>
    <w:multiLevelType w:val="multilevel"/>
    <w:tmpl w:val="AADC2620"/>
    <w:styleLink w:val="WWNum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6" w15:restartNumberingAfterBreak="0">
    <w:nsid w:val="45DF5221"/>
    <w:multiLevelType w:val="hybridMultilevel"/>
    <w:tmpl w:val="299A4FA8"/>
    <w:lvl w:ilvl="0" w:tplc="04160009">
      <w:start w:val="1"/>
      <w:numFmt w:val="bullet"/>
      <w:lvlText w:val=""/>
      <w:lvlJc w:val="left"/>
      <w:pPr>
        <w:ind w:left="720" w:hanging="360"/>
      </w:pPr>
      <w:rPr>
        <w:rFonts w:ascii="Wingdings" w:hAnsi="Wingdings" w:hint="default"/>
      </w:rPr>
    </w:lvl>
    <w:lvl w:ilvl="1" w:tplc="0416000B">
      <w:start w:val="1"/>
      <w:numFmt w:val="bullet"/>
      <w:lvlText w:val=""/>
      <w:lvlJc w:val="left"/>
      <w:pPr>
        <w:ind w:left="1440" w:hanging="360"/>
      </w:pPr>
      <w:rPr>
        <w:rFonts w:ascii="Wingdings" w:hAnsi="Wingding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C1A50A3"/>
    <w:multiLevelType w:val="multilevel"/>
    <w:tmpl w:val="6B18143A"/>
    <w:styleLink w:val="WWNum5"/>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3D96C42"/>
    <w:multiLevelType w:val="multilevel"/>
    <w:tmpl w:val="C332F8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38521A"/>
    <w:multiLevelType w:val="hybridMultilevel"/>
    <w:tmpl w:val="80A481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2F50C58"/>
    <w:multiLevelType w:val="multilevel"/>
    <w:tmpl w:val="6C0A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D1B25"/>
    <w:multiLevelType w:val="hybridMultilevel"/>
    <w:tmpl w:val="0EECC46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ABB52F3"/>
    <w:multiLevelType w:val="hybridMultilevel"/>
    <w:tmpl w:val="E1E80C0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E6155DC"/>
    <w:multiLevelType w:val="multilevel"/>
    <w:tmpl w:val="1BC8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D39E3"/>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94837074">
    <w:abstractNumId w:val="14"/>
  </w:num>
  <w:num w:numId="2" w16cid:durableId="1660572673">
    <w:abstractNumId w:val="0"/>
  </w:num>
  <w:num w:numId="3" w16cid:durableId="1012075060">
    <w:abstractNumId w:val="15"/>
  </w:num>
  <w:num w:numId="4" w16cid:durableId="105931366">
    <w:abstractNumId w:val="7"/>
  </w:num>
  <w:num w:numId="5" w16cid:durableId="619384142">
    <w:abstractNumId w:val="17"/>
  </w:num>
  <w:num w:numId="6" w16cid:durableId="903376168">
    <w:abstractNumId w:val="15"/>
    <w:lvlOverride w:ilvl="0">
      <w:startOverride w:val="1"/>
    </w:lvlOverride>
  </w:num>
  <w:num w:numId="7" w16cid:durableId="1951811433">
    <w:abstractNumId w:val="7"/>
  </w:num>
  <w:num w:numId="8" w16cid:durableId="381442864">
    <w:abstractNumId w:val="17"/>
  </w:num>
  <w:num w:numId="9" w16cid:durableId="1722746514">
    <w:abstractNumId w:val="9"/>
  </w:num>
  <w:num w:numId="10" w16cid:durableId="193425230">
    <w:abstractNumId w:val="1"/>
  </w:num>
  <w:num w:numId="11" w16cid:durableId="1122843250">
    <w:abstractNumId w:val="19"/>
  </w:num>
  <w:num w:numId="12" w16cid:durableId="204487261">
    <w:abstractNumId w:val="22"/>
  </w:num>
  <w:num w:numId="13" w16cid:durableId="1448502450">
    <w:abstractNumId w:val="12"/>
  </w:num>
  <w:num w:numId="14" w16cid:durableId="1448890381">
    <w:abstractNumId w:val="21"/>
  </w:num>
  <w:num w:numId="15" w16cid:durableId="465511799">
    <w:abstractNumId w:val="6"/>
  </w:num>
  <w:num w:numId="16" w16cid:durableId="889999215">
    <w:abstractNumId w:val="3"/>
  </w:num>
  <w:num w:numId="17" w16cid:durableId="293293227">
    <w:abstractNumId w:val="4"/>
  </w:num>
  <w:num w:numId="18" w16cid:durableId="2045448397">
    <w:abstractNumId w:val="11"/>
  </w:num>
  <w:num w:numId="19" w16cid:durableId="1872301281">
    <w:abstractNumId w:val="23"/>
  </w:num>
  <w:num w:numId="20" w16cid:durableId="1998806393">
    <w:abstractNumId w:val="5"/>
  </w:num>
  <w:num w:numId="21" w16cid:durableId="1228220639">
    <w:abstractNumId w:val="18"/>
  </w:num>
  <w:num w:numId="22" w16cid:durableId="1257834275">
    <w:abstractNumId w:val="8"/>
  </w:num>
  <w:num w:numId="23" w16cid:durableId="1698659605">
    <w:abstractNumId w:val="2"/>
  </w:num>
  <w:num w:numId="24" w16cid:durableId="192691534">
    <w:abstractNumId w:val="20"/>
  </w:num>
  <w:num w:numId="25" w16cid:durableId="997147757">
    <w:abstractNumId w:val="16"/>
  </w:num>
  <w:num w:numId="26" w16cid:durableId="529534740">
    <w:abstractNumId w:val="10"/>
  </w:num>
  <w:num w:numId="27" w16cid:durableId="1373774751">
    <w:abstractNumId w:val="13"/>
  </w:num>
  <w:num w:numId="28" w16cid:durableId="17813656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B54"/>
    <w:rsid w:val="00013CAE"/>
    <w:rsid w:val="0002066E"/>
    <w:rsid w:val="00020C81"/>
    <w:rsid w:val="00020CC2"/>
    <w:rsid w:val="000236D6"/>
    <w:rsid w:val="00025E04"/>
    <w:rsid w:val="0003350E"/>
    <w:rsid w:val="000340DE"/>
    <w:rsid w:val="000379F2"/>
    <w:rsid w:val="00042FB7"/>
    <w:rsid w:val="0006125E"/>
    <w:rsid w:val="00066FD2"/>
    <w:rsid w:val="000801A6"/>
    <w:rsid w:val="00081C33"/>
    <w:rsid w:val="00086FB1"/>
    <w:rsid w:val="00090490"/>
    <w:rsid w:val="00091CDF"/>
    <w:rsid w:val="00093BD6"/>
    <w:rsid w:val="00096F6E"/>
    <w:rsid w:val="00097ABD"/>
    <w:rsid w:val="000A1161"/>
    <w:rsid w:val="000A6626"/>
    <w:rsid w:val="000A7703"/>
    <w:rsid w:val="000A7D56"/>
    <w:rsid w:val="000B0764"/>
    <w:rsid w:val="000D7616"/>
    <w:rsid w:val="000E01DD"/>
    <w:rsid w:val="000E6F9E"/>
    <w:rsid w:val="00100EA1"/>
    <w:rsid w:val="001175FF"/>
    <w:rsid w:val="001224A6"/>
    <w:rsid w:val="00122C42"/>
    <w:rsid w:val="00125C82"/>
    <w:rsid w:val="001320FD"/>
    <w:rsid w:val="00143FA6"/>
    <w:rsid w:val="00147776"/>
    <w:rsid w:val="0016029C"/>
    <w:rsid w:val="0017107D"/>
    <w:rsid w:val="00176FBA"/>
    <w:rsid w:val="00182C19"/>
    <w:rsid w:val="00183330"/>
    <w:rsid w:val="00185FBC"/>
    <w:rsid w:val="001866A6"/>
    <w:rsid w:val="001928C2"/>
    <w:rsid w:val="00192D30"/>
    <w:rsid w:val="001A2C3D"/>
    <w:rsid w:val="001A3A68"/>
    <w:rsid w:val="001B3204"/>
    <w:rsid w:val="001B71C1"/>
    <w:rsid w:val="001C49C3"/>
    <w:rsid w:val="001E20AC"/>
    <w:rsid w:val="001E7EE3"/>
    <w:rsid w:val="001F1368"/>
    <w:rsid w:val="001F6B2C"/>
    <w:rsid w:val="00202C8A"/>
    <w:rsid w:val="00205140"/>
    <w:rsid w:val="00207279"/>
    <w:rsid w:val="00207329"/>
    <w:rsid w:val="00210672"/>
    <w:rsid w:val="0021780A"/>
    <w:rsid w:val="0022687F"/>
    <w:rsid w:val="00233064"/>
    <w:rsid w:val="002331FF"/>
    <w:rsid w:val="00246E49"/>
    <w:rsid w:val="00263A97"/>
    <w:rsid w:val="00270AD7"/>
    <w:rsid w:val="002746BC"/>
    <w:rsid w:val="002807F0"/>
    <w:rsid w:val="00280DCA"/>
    <w:rsid w:val="002914E2"/>
    <w:rsid w:val="002A1A54"/>
    <w:rsid w:val="002A444F"/>
    <w:rsid w:val="002B2F73"/>
    <w:rsid w:val="002C0ED6"/>
    <w:rsid w:val="002C5E23"/>
    <w:rsid w:val="002C71D3"/>
    <w:rsid w:val="002D42A2"/>
    <w:rsid w:val="002F295C"/>
    <w:rsid w:val="002F38D1"/>
    <w:rsid w:val="002F43EC"/>
    <w:rsid w:val="00316193"/>
    <w:rsid w:val="00317280"/>
    <w:rsid w:val="00336664"/>
    <w:rsid w:val="0034358A"/>
    <w:rsid w:val="00343B29"/>
    <w:rsid w:val="0034787E"/>
    <w:rsid w:val="0035728C"/>
    <w:rsid w:val="00360AB3"/>
    <w:rsid w:val="0036160D"/>
    <w:rsid w:val="003638BD"/>
    <w:rsid w:val="00374850"/>
    <w:rsid w:val="00375B54"/>
    <w:rsid w:val="00376895"/>
    <w:rsid w:val="0037723A"/>
    <w:rsid w:val="003776BF"/>
    <w:rsid w:val="003853AE"/>
    <w:rsid w:val="00386281"/>
    <w:rsid w:val="00386773"/>
    <w:rsid w:val="003945D7"/>
    <w:rsid w:val="00396EB4"/>
    <w:rsid w:val="003975AD"/>
    <w:rsid w:val="003A509F"/>
    <w:rsid w:val="003A7566"/>
    <w:rsid w:val="003D3F84"/>
    <w:rsid w:val="003E4E80"/>
    <w:rsid w:val="003F2D32"/>
    <w:rsid w:val="003F3D95"/>
    <w:rsid w:val="00414104"/>
    <w:rsid w:val="0042264E"/>
    <w:rsid w:val="00424E58"/>
    <w:rsid w:val="004260E1"/>
    <w:rsid w:val="0042747D"/>
    <w:rsid w:val="004342C5"/>
    <w:rsid w:val="00441FD0"/>
    <w:rsid w:val="00442CD0"/>
    <w:rsid w:val="004564C8"/>
    <w:rsid w:val="00461C0B"/>
    <w:rsid w:val="004638FF"/>
    <w:rsid w:val="0046676C"/>
    <w:rsid w:val="00494E0B"/>
    <w:rsid w:val="00496889"/>
    <w:rsid w:val="004A2109"/>
    <w:rsid w:val="004A46A3"/>
    <w:rsid w:val="004A6D87"/>
    <w:rsid w:val="004B620B"/>
    <w:rsid w:val="004B670B"/>
    <w:rsid w:val="004B7888"/>
    <w:rsid w:val="004C0C38"/>
    <w:rsid w:val="004C40F2"/>
    <w:rsid w:val="004C5361"/>
    <w:rsid w:val="004E2048"/>
    <w:rsid w:val="004E5A66"/>
    <w:rsid w:val="00501861"/>
    <w:rsid w:val="00502BF7"/>
    <w:rsid w:val="00513135"/>
    <w:rsid w:val="005206DE"/>
    <w:rsid w:val="00526732"/>
    <w:rsid w:val="00526F03"/>
    <w:rsid w:val="00543256"/>
    <w:rsid w:val="00552B5F"/>
    <w:rsid w:val="00554386"/>
    <w:rsid w:val="005545DC"/>
    <w:rsid w:val="00563306"/>
    <w:rsid w:val="00564D55"/>
    <w:rsid w:val="0057703F"/>
    <w:rsid w:val="00585A93"/>
    <w:rsid w:val="005A5B2D"/>
    <w:rsid w:val="005B2172"/>
    <w:rsid w:val="005C1BA1"/>
    <w:rsid w:val="005C268A"/>
    <w:rsid w:val="005D2F90"/>
    <w:rsid w:val="005D427D"/>
    <w:rsid w:val="005E22F4"/>
    <w:rsid w:val="005E384B"/>
    <w:rsid w:val="005E5750"/>
    <w:rsid w:val="00606ACF"/>
    <w:rsid w:val="006131FD"/>
    <w:rsid w:val="00614D0C"/>
    <w:rsid w:val="0061614F"/>
    <w:rsid w:val="00635911"/>
    <w:rsid w:val="0064403B"/>
    <w:rsid w:val="0064687F"/>
    <w:rsid w:val="00663677"/>
    <w:rsid w:val="00663B5F"/>
    <w:rsid w:val="006707E9"/>
    <w:rsid w:val="0067653C"/>
    <w:rsid w:val="0068001E"/>
    <w:rsid w:val="006829CB"/>
    <w:rsid w:val="0068696E"/>
    <w:rsid w:val="006937C0"/>
    <w:rsid w:val="006942EA"/>
    <w:rsid w:val="006957F0"/>
    <w:rsid w:val="00695FBE"/>
    <w:rsid w:val="006A6D02"/>
    <w:rsid w:val="006B48EF"/>
    <w:rsid w:val="006B5291"/>
    <w:rsid w:val="006B61F2"/>
    <w:rsid w:val="006B7378"/>
    <w:rsid w:val="006C4796"/>
    <w:rsid w:val="006C5E99"/>
    <w:rsid w:val="006C6D35"/>
    <w:rsid w:val="006D6F8F"/>
    <w:rsid w:val="006E1BD5"/>
    <w:rsid w:val="006E274D"/>
    <w:rsid w:val="006F703C"/>
    <w:rsid w:val="006F78A5"/>
    <w:rsid w:val="0070116B"/>
    <w:rsid w:val="0070311C"/>
    <w:rsid w:val="0071488D"/>
    <w:rsid w:val="007157C3"/>
    <w:rsid w:val="00716DAA"/>
    <w:rsid w:val="00731A26"/>
    <w:rsid w:val="0073228F"/>
    <w:rsid w:val="00736945"/>
    <w:rsid w:val="00742E66"/>
    <w:rsid w:val="00756BBB"/>
    <w:rsid w:val="00772B0A"/>
    <w:rsid w:val="00795494"/>
    <w:rsid w:val="007A4FC8"/>
    <w:rsid w:val="007B33B7"/>
    <w:rsid w:val="007B66C2"/>
    <w:rsid w:val="007B724B"/>
    <w:rsid w:val="007B7CD2"/>
    <w:rsid w:val="007D27A4"/>
    <w:rsid w:val="007D3000"/>
    <w:rsid w:val="007D3247"/>
    <w:rsid w:val="007D6561"/>
    <w:rsid w:val="007D6774"/>
    <w:rsid w:val="007E1D4B"/>
    <w:rsid w:val="007E1F1B"/>
    <w:rsid w:val="007E2E6E"/>
    <w:rsid w:val="007E5CBB"/>
    <w:rsid w:val="007E7656"/>
    <w:rsid w:val="007F3CCA"/>
    <w:rsid w:val="007F66B1"/>
    <w:rsid w:val="008278AA"/>
    <w:rsid w:val="008303EC"/>
    <w:rsid w:val="008321A2"/>
    <w:rsid w:val="008346F5"/>
    <w:rsid w:val="00834AE1"/>
    <w:rsid w:val="00841EAA"/>
    <w:rsid w:val="008514FC"/>
    <w:rsid w:val="00853C47"/>
    <w:rsid w:val="0085707F"/>
    <w:rsid w:val="00870C46"/>
    <w:rsid w:val="00877A1E"/>
    <w:rsid w:val="00877B6F"/>
    <w:rsid w:val="00881419"/>
    <w:rsid w:val="00883200"/>
    <w:rsid w:val="00884DE2"/>
    <w:rsid w:val="00886B7D"/>
    <w:rsid w:val="008902A3"/>
    <w:rsid w:val="008A0474"/>
    <w:rsid w:val="008A082F"/>
    <w:rsid w:val="008A5F4E"/>
    <w:rsid w:val="008B2B00"/>
    <w:rsid w:val="008B7418"/>
    <w:rsid w:val="008C1AD8"/>
    <w:rsid w:val="008C4610"/>
    <w:rsid w:val="008C4E49"/>
    <w:rsid w:val="008D3752"/>
    <w:rsid w:val="008D5C67"/>
    <w:rsid w:val="008D7047"/>
    <w:rsid w:val="008E21CA"/>
    <w:rsid w:val="008E6D57"/>
    <w:rsid w:val="008F7BFA"/>
    <w:rsid w:val="0090116F"/>
    <w:rsid w:val="00905A1D"/>
    <w:rsid w:val="00910EC0"/>
    <w:rsid w:val="00930BB5"/>
    <w:rsid w:val="009475A8"/>
    <w:rsid w:val="009509CD"/>
    <w:rsid w:val="0095150B"/>
    <w:rsid w:val="009570F5"/>
    <w:rsid w:val="009574F0"/>
    <w:rsid w:val="009579D4"/>
    <w:rsid w:val="00957CCA"/>
    <w:rsid w:val="009668C7"/>
    <w:rsid w:val="00970192"/>
    <w:rsid w:val="00973184"/>
    <w:rsid w:val="00975FB4"/>
    <w:rsid w:val="00982538"/>
    <w:rsid w:val="00983934"/>
    <w:rsid w:val="00990038"/>
    <w:rsid w:val="009A069F"/>
    <w:rsid w:val="009A10C9"/>
    <w:rsid w:val="009A3AF0"/>
    <w:rsid w:val="009A3FD9"/>
    <w:rsid w:val="009A4E41"/>
    <w:rsid w:val="009B1AD7"/>
    <w:rsid w:val="009B618B"/>
    <w:rsid w:val="009B6529"/>
    <w:rsid w:val="009B7CAE"/>
    <w:rsid w:val="009C3C53"/>
    <w:rsid w:val="009E1289"/>
    <w:rsid w:val="009E46BD"/>
    <w:rsid w:val="009E7CC4"/>
    <w:rsid w:val="009F5F5F"/>
    <w:rsid w:val="009F7E9A"/>
    <w:rsid w:val="00A03F45"/>
    <w:rsid w:val="00A1483A"/>
    <w:rsid w:val="00A15C54"/>
    <w:rsid w:val="00A20766"/>
    <w:rsid w:val="00A237B9"/>
    <w:rsid w:val="00A23AAE"/>
    <w:rsid w:val="00A24E3B"/>
    <w:rsid w:val="00A4050F"/>
    <w:rsid w:val="00A41883"/>
    <w:rsid w:val="00A47EA9"/>
    <w:rsid w:val="00A607B2"/>
    <w:rsid w:val="00A6136E"/>
    <w:rsid w:val="00A66769"/>
    <w:rsid w:val="00A719C7"/>
    <w:rsid w:val="00A71EC8"/>
    <w:rsid w:val="00A83C27"/>
    <w:rsid w:val="00AA18F5"/>
    <w:rsid w:val="00AA54E1"/>
    <w:rsid w:val="00AB1DD6"/>
    <w:rsid w:val="00AB2132"/>
    <w:rsid w:val="00AB5F34"/>
    <w:rsid w:val="00AB7A58"/>
    <w:rsid w:val="00AC0085"/>
    <w:rsid w:val="00AC5973"/>
    <w:rsid w:val="00AD6FEB"/>
    <w:rsid w:val="00AE52A5"/>
    <w:rsid w:val="00AF1722"/>
    <w:rsid w:val="00AF339A"/>
    <w:rsid w:val="00AF3F63"/>
    <w:rsid w:val="00B02BB3"/>
    <w:rsid w:val="00B058F6"/>
    <w:rsid w:val="00B1231E"/>
    <w:rsid w:val="00B13E43"/>
    <w:rsid w:val="00B2178B"/>
    <w:rsid w:val="00B24768"/>
    <w:rsid w:val="00B24C67"/>
    <w:rsid w:val="00B3142B"/>
    <w:rsid w:val="00B3340D"/>
    <w:rsid w:val="00B35A09"/>
    <w:rsid w:val="00B3771F"/>
    <w:rsid w:val="00B4324A"/>
    <w:rsid w:val="00B54788"/>
    <w:rsid w:val="00B60585"/>
    <w:rsid w:val="00B6138B"/>
    <w:rsid w:val="00B63307"/>
    <w:rsid w:val="00B675AD"/>
    <w:rsid w:val="00B70CC9"/>
    <w:rsid w:val="00B85D35"/>
    <w:rsid w:val="00B8721D"/>
    <w:rsid w:val="00B92D12"/>
    <w:rsid w:val="00BA33A8"/>
    <w:rsid w:val="00BC01AC"/>
    <w:rsid w:val="00BC01D9"/>
    <w:rsid w:val="00BC4557"/>
    <w:rsid w:val="00BC4C8B"/>
    <w:rsid w:val="00BC56AF"/>
    <w:rsid w:val="00BD5364"/>
    <w:rsid w:val="00BE26E7"/>
    <w:rsid w:val="00BE2F6F"/>
    <w:rsid w:val="00BE7BE2"/>
    <w:rsid w:val="00BF1454"/>
    <w:rsid w:val="00C016DA"/>
    <w:rsid w:val="00C07418"/>
    <w:rsid w:val="00C10844"/>
    <w:rsid w:val="00C1551C"/>
    <w:rsid w:val="00C20F96"/>
    <w:rsid w:val="00C24CA5"/>
    <w:rsid w:val="00C25600"/>
    <w:rsid w:val="00C319B8"/>
    <w:rsid w:val="00C319D1"/>
    <w:rsid w:val="00C34C5A"/>
    <w:rsid w:val="00C532DF"/>
    <w:rsid w:val="00C54EDB"/>
    <w:rsid w:val="00C578FC"/>
    <w:rsid w:val="00C60835"/>
    <w:rsid w:val="00C631B6"/>
    <w:rsid w:val="00C71271"/>
    <w:rsid w:val="00C71917"/>
    <w:rsid w:val="00C81A72"/>
    <w:rsid w:val="00C83ABF"/>
    <w:rsid w:val="00C87A99"/>
    <w:rsid w:val="00C87CBB"/>
    <w:rsid w:val="00C925A6"/>
    <w:rsid w:val="00C97065"/>
    <w:rsid w:val="00CA1137"/>
    <w:rsid w:val="00CA4028"/>
    <w:rsid w:val="00CA5C3A"/>
    <w:rsid w:val="00CB2E0F"/>
    <w:rsid w:val="00CB3037"/>
    <w:rsid w:val="00CC2415"/>
    <w:rsid w:val="00CD3F36"/>
    <w:rsid w:val="00CD4BEF"/>
    <w:rsid w:val="00CD7BC9"/>
    <w:rsid w:val="00CE27FF"/>
    <w:rsid w:val="00CE36B5"/>
    <w:rsid w:val="00CF0E6F"/>
    <w:rsid w:val="00CF1D7C"/>
    <w:rsid w:val="00CF2FEF"/>
    <w:rsid w:val="00D0394D"/>
    <w:rsid w:val="00D06FB9"/>
    <w:rsid w:val="00D13058"/>
    <w:rsid w:val="00D17AF1"/>
    <w:rsid w:val="00D31BBC"/>
    <w:rsid w:val="00D36F53"/>
    <w:rsid w:val="00D4069D"/>
    <w:rsid w:val="00D4116F"/>
    <w:rsid w:val="00D53E46"/>
    <w:rsid w:val="00D6683F"/>
    <w:rsid w:val="00D82476"/>
    <w:rsid w:val="00D9322A"/>
    <w:rsid w:val="00D9739A"/>
    <w:rsid w:val="00DA7A51"/>
    <w:rsid w:val="00DA7C7F"/>
    <w:rsid w:val="00DB03E0"/>
    <w:rsid w:val="00DB04B8"/>
    <w:rsid w:val="00DB0860"/>
    <w:rsid w:val="00DB0880"/>
    <w:rsid w:val="00DB17D9"/>
    <w:rsid w:val="00DB5DE0"/>
    <w:rsid w:val="00DC2B71"/>
    <w:rsid w:val="00DC64B6"/>
    <w:rsid w:val="00DC6E65"/>
    <w:rsid w:val="00DD663A"/>
    <w:rsid w:val="00DE1A40"/>
    <w:rsid w:val="00DE4CAC"/>
    <w:rsid w:val="00E00747"/>
    <w:rsid w:val="00E023A8"/>
    <w:rsid w:val="00E07352"/>
    <w:rsid w:val="00E102AB"/>
    <w:rsid w:val="00E11C32"/>
    <w:rsid w:val="00E12D25"/>
    <w:rsid w:val="00E14A87"/>
    <w:rsid w:val="00E16FCE"/>
    <w:rsid w:val="00E2033D"/>
    <w:rsid w:val="00E229BC"/>
    <w:rsid w:val="00E22F48"/>
    <w:rsid w:val="00E243B3"/>
    <w:rsid w:val="00E3086E"/>
    <w:rsid w:val="00E32CA2"/>
    <w:rsid w:val="00E453F6"/>
    <w:rsid w:val="00E50742"/>
    <w:rsid w:val="00E75CB2"/>
    <w:rsid w:val="00E76936"/>
    <w:rsid w:val="00E7693A"/>
    <w:rsid w:val="00E80E02"/>
    <w:rsid w:val="00E815AF"/>
    <w:rsid w:val="00E85D55"/>
    <w:rsid w:val="00E96655"/>
    <w:rsid w:val="00EA12C2"/>
    <w:rsid w:val="00EA303D"/>
    <w:rsid w:val="00EA7E78"/>
    <w:rsid w:val="00EB35CB"/>
    <w:rsid w:val="00EB5C29"/>
    <w:rsid w:val="00EB7ABD"/>
    <w:rsid w:val="00EC37D9"/>
    <w:rsid w:val="00EC4755"/>
    <w:rsid w:val="00EC7818"/>
    <w:rsid w:val="00EC7BBB"/>
    <w:rsid w:val="00EC7F46"/>
    <w:rsid w:val="00EE0D96"/>
    <w:rsid w:val="00EE52B5"/>
    <w:rsid w:val="00EF05AC"/>
    <w:rsid w:val="00F06AB5"/>
    <w:rsid w:val="00F078F9"/>
    <w:rsid w:val="00F15B92"/>
    <w:rsid w:val="00F16371"/>
    <w:rsid w:val="00F210F3"/>
    <w:rsid w:val="00F2140E"/>
    <w:rsid w:val="00F301D3"/>
    <w:rsid w:val="00F3567B"/>
    <w:rsid w:val="00F368CA"/>
    <w:rsid w:val="00F36EFA"/>
    <w:rsid w:val="00F405FD"/>
    <w:rsid w:val="00F41EDD"/>
    <w:rsid w:val="00F5267D"/>
    <w:rsid w:val="00F641A0"/>
    <w:rsid w:val="00F64A01"/>
    <w:rsid w:val="00F72ADE"/>
    <w:rsid w:val="00F84389"/>
    <w:rsid w:val="00F86F44"/>
    <w:rsid w:val="00F92839"/>
    <w:rsid w:val="00F9585B"/>
    <w:rsid w:val="00FA1211"/>
    <w:rsid w:val="00FA6F40"/>
    <w:rsid w:val="00FB077A"/>
    <w:rsid w:val="00FC1ACC"/>
    <w:rsid w:val="00FC7CF6"/>
    <w:rsid w:val="00FD0327"/>
    <w:rsid w:val="00FD2004"/>
    <w:rsid w:val="00FD3F13"/>
    <w:rsid w:val="00FE72A4"/>
    <w:rsid w:val="00FF1C20"/>
    <w:rsid w:val="00FF3BFC"/>
    <w:rsid w:val="00FF40EE"/>
    <w:rsid w:val="00FF55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E0F6F"/>
  <w15:docId w15:val="{5D8191B5-2F4E-44F5-B2DB-4310D4F8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sz w:val="22"/>
        <w:szCs w:val="22"/>
        <w:lang w:val="pt-BR"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AE1"/>
    <w:pPr>
      <w:widowControl/>
      <w:autoSpaceDN/>
      <w:spacing w:after="160" w:line="259" w:lineRule="auto"/>
      <w:textAlignment w:val="auto"/>
    </w:pPr>
    <w:rPr>
      <w:rFonts w:asciiTheme="minorHAnsi" w:eastAsiaTheme="minorHAnsi" w:hAnsiTheme="minorHAnsi" w:cstheme="minorBid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160" w:line="251" w:lineRule="auto"/>
    </w:pPr>
  </w:style>
  <w:style w:type="paragraph" w:customStyle="1" w:styleId="Heading">
    <w:name w:val="Heading"/>
    <w:basedOn w:val="Standard"/>
    <w:next w:val="Textbody"/>
    <w:pPr>
      <w:keepNext/>
      <w:spacing w:before="240" w:after="120"/>
    </w:pPr>
    <w:rPr>
      <w:rFonts w:ascii="Arial" w:eastAsia="Microsoft YaHei" w:hAnsi="Arial"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Lucida Sans"/>
      <w:sz w:val="24"/>
    </w:rPr>
  </w:style>
  <w:style w:type="paragraph" w:styleId="Legenda">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PargrafodaLista">
    <w:name w:val="List Paragraph"/>
    <w:basedOn w:val="Standard"/>
    <w:pPr>
      <w:ind w:left="720"/>
    </w:pPr>
  </w:style>
  <w:style w:type="paragraph" w:customStyle="1" w:styleId="Footnote">
    <w:name w:val="Footnote"/>
    <w:basedOn w:val="Standard"/>
    <w:pPr>
      <w:spacing w:after="0" w:line="240" w:lineRule="auto"/>
    </w:pPr>
    <w:rPr>
      <w:sz w:val="20"/>
      <w:szCs w:val="20"/>
    </w:rPr>
  </w:style>
  <w:style w:type="paragraph" w:customStyle="1" w:styleId="TableContents">
    <w:name w:val="Table Contents"/>
    <w:basedOn w:val="Standard"/>
    <w:pPr>
      <w:suppressLineNumbers/>
    </w:pPr>
  </w:style>
  <w:style w:type="character" w:customStyle="1" w:styleId="TextodenotaderodapChar">
    <w:name w:val="Texto de nota de rodapé Char"/>
    <w:basedOn w:val="Fontepargpadro"/>
    <w:rPr>
      <w:sz w:val="20"/>
      <w:szCs w:val="20"/>
    </w:rPr>
  </w:style>
  <w:style w:type="character" w:customStyle="1" w:styleId="Footnoteanchor">
    <w:name w:val="Footnote anchor"/>
    <w:rPr>
      <w:position w:val="0"/>
      <w:vertAlign w:val="superscript"/>
    </w:rPr>
  </w:style>
  <w:style w:type="character" w:customStyle="1" w:styleId="FootnoteCharacters">
    <w:name w:val="Footnote Characters"/>
    <w:basedOn w:val="Fontepargpadro"/>
    <w:rPr>
      <w:position w:val="0"/>
      <w:vertAlign w:val="superscript"/>
    </w:rPr>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FootnoteSymbol">
    <w:name w:val="Footnote Symbol"/>
  </w:style>
  <w:style w:type="character" w:customStyle="1" w:styleId="Endnoteanchor">
    <w:name w:val="Endnote anchor"/>
    <w:rPr>
      <w:position w:val="0"/>
      <w:vertAlign w:val="superscript"/>
    </w:rPr>
  </w:style>
  <w:style w:type="character" w:customStyle="1" w:styleId="EndnoteSymbol">
    <w:name w:val="Endnote Symbol"/>
  </w:style>
  <w:style w:type="character" w:styleId="nfase">
    <w:name w:val="Emphasis"/>
    <w:rPr>
      <w:i/>
      <w:iCs/>
    </w:rPr>
  </w:style>
  <w:style w:type="character" w:styleId="Refdenotaderodap">
    <w:name w:val="footnote reference"/>
    <w:basedOn w:val="Fontepargpadro"/>
    <w:rPr>
      <w:position w:val="0"/>
      <w:vertAlign w:val="superscript"/>
    </w:rPr>
  </w:style>
  <w:style w:type="paragraph" w:styleId="Cabealho">
    <w:name w:val="header"/>
    <w:basedOn w:val="Normal"/>
    <w:uiPriority w:val="99"/>
    <w:pPr>
      <w:tabs>
        <w:tab w:val="center" w:pos="4252"/>
        <w:tab w:val="right" w:pos="8504"/>
      </w:tabs>
    </w:pPr>
  </w:style>
  <w:style w:type="character" w:customStyle="1" w:styleId="CabealhoChar">
    <w:name w:val="Cabeçalho Char"/>
    <w:basedOn w:val="Fontepargpadro"/>
    <w:uiPriority w:val="99"/>
  </w:style>
  <w:style w:type="paragraph" w:styleId="Rodap">
    <w:name w:val="footer"/>
    <w:basedOn w:val="Normal"/>
    <w:pPr>
      <w:tabs>
        <w:tab w:val="center" w:pos="4252"/>
        <w:tab w:val="right" w:pos="8504"/>
      </w:tabs>
    </w:pPr>
  </w:style>
  <w:style w:type="character" w:customStyle="1" w:styleId="RodapChar">
    <w:name w:val="Rodapé Char"/>
    <w:basedOn w:val="Fontepargpadro"/>
  </w:style>
  <w:style w:type="character" w:styleId="Hyperlink">
    <w:name w:val="Hyperlink"/>
    <w:basedOn w:val="Fontepargpadro"/>
    <w:uiPriority w:val="99"/>
    <w:unhideWhenUsed/>
    <w:rsid w:val="00086FB1"/>
    <w:rPr>
      <w:color w:val="0563C1" w:themeColor="hyperlink"/>
      <w:u w:val="single"/>
    </w:rPr>
  </w:style>
  <w:style w:type="character" w:styleId="MenoPendente">
    <w:name w:val="Unresolved Mention"/>
    <w:basedOn w:val="Fontepargpadro"/>
    <w:uiPriority w:val="99"/>
    <w:semiHidden/>
    <w:unhideWhenUsed/>
    <w:rsid w:val="00086FB1"/>
    <w:rPr>
      <w:color w:val="605E5C"/>
      <w:shd w:val="clear" w:color="auto" w:fill="E1DFDD"/>
    </w:rPr>
  </w:style>
  <w:style w:type="numbering" w:customStyle="1" w:styleId="Semlista1">
    <w:name w:val="Sem lista1"/>
    <w:basedOn w:val="Semlista"/>
    <w:pPr>
      <w:numPr>
        <w:numId w:val="1"/>
      </w:numPr>
    </w:pPr>
  </w:style>
  <w:style w:type="numbering" w:customStyle="1" w:styleId="WWNum1">
    <w:name w:val="WWNum1"/>
    <w:basedOn w:val="Semlista"/>
    <w:pPr>
      <w:numPr>
        <w:numId w:val="2"/>
      </w:numPr>
    </w:pPr>
  </w:style>
  <w:style w:type="numbering" w:customStyle="1" w:styleId="WWNum2">
    <w:name w:val="WWNum2"/>
    <w:basedOn w:val="Semlista"/>
    <w:pPr>
      <w:numPr>
        <w:numId w:val="3"/>
      </w:numPr>
    </w:pPr>
  </w:style>
  <w:style w:type="numbering" w:customStyle="1" w:styleId="WWNum3">
    <w:name w:val="WWNum3"/>
    <w:basedOn w:val="Semlista"/>
    <w:pPr>
      <w:numPr>
        <w:numId w:val="4"/>
      </w:numPr>
    </w:pPr>
  </w:style>
  <w:style w:type="numbering" w:customStyle="1" w:styleId="WWNum5">
    <w:name w:val="WWNum5"/>
    <w:basedOn w:val="Semlista"/>
    <w:pPr>
      <w:numPr>
        <w:numId w:val="5"/>
      </w:numPr>
    </w:pPr>
  </w:style>
  <w:style w:type="paragraph" w:customStyle="1" w:styleId="a1pargrafo">
    <w:name w:val="a1º parágrafo"/>
    <w:basedOn w:val="Normal"/>
    <w:rsid w:val="00C319B8"/>
    <w:pPr>
      <w:widowControl w:val="0"/>
      <w:suppressAutoHyphens/>
      <w:autoSpaceDN w:val="0"/>
      <w:spacing w:after="170" w:line="360" w:lineRule="auto"/>
      <w:ind w:firstLine="2267"/>
      <w:jc w:val="both"/>
    </w:pPr>
    <w:rPr>
      <w:rFonts w:ascii="Arial" w:eastAsia="SimSun" w:hAnsi="Arial" w:cs="Arial"/>
      <w:kern w:val="3"/>
      <w:lang w:eastAsia="zh-CN" w:bidi="hi-IN"/>
    </w:rPr>
  </w:style>
  <w:style w:type="paragraph" w:customStyle="1" w:styleId="atpicos">
    <w:name w:val="atópicos"/>
    <w:basedOn w:val="Normal"/>
    <w:rsid w:val="00C319B8"/>
    <w:pPr>
      <w:widowControl w:val="0"/>
      <w:suppressAutoHyphens/>
      <w:autoSpaceDN w:val="0"/>
      <w:spacing w:after="170" w:line="360" w:lineRule="auto"/>
      <w:ind w:left="3400" w:hanging="11"/>
      <w:jc w:val="both"/>
    </w:pPr>
    <w:rPr>
      <w:rFonts w:ascii="Arial" w:eastAsia="SimSun" w:hAnsi="Arial" w:cs="Arial"/>
      <w:kern w:val="3"/>
      <w:sz w:val="18"/>
      <w:szCs w:val="18"/>
      <w:lang w:eastAsia="zh-CN" w:bidi="hi-IN"/>
    </w:rPr>
  </w:style>
  <w:style w:type="paragraph" w:styleId="NormalWeb">
    <w:name w:val="Normal (Web)"/>
    <w:basedOn w:val="Normal"/>
    <w:uiPriority w:val="99"/>
    <w:unhideWhenUsed/>
    <w:rsid w:val="00DB08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efault">
    <w:name w:val="Default"/>
    <w:rsid w:val="0042264E"/>
    <w:pPr>
      <w:widowControl/>
      <w:autoSpaceDE w:val="0"/>
      <w:adjustRightInd w:val="0"/>
      <w:textAlignment w:val="auto"/>
    </w:pPr>
    <w:rPr>
      <w:rFonts w:ascii="Arial" w:hAnsi="Arial" w:cs="Arial"/>
      <w:color w:val="000000"/>
      <w:sz w:val="24"/>
      <w:szCs w:val="24"/>
    </w:rPr>
  </w:style>
  <w:style w:type="character" w:styleId="Refdecomentrio">
    <w:name w:val="annotation reference"/>
    <w:basedOn w:val="Fontepargpadro"/>
    <w:uiPriority w:val="99"/>
    <w:semiHidden/>
    <w:unhideWhenUsed/>
    <w:rsid w:val="00AF3F63"/>
    <w:rPr>
      <w:sz w:val="16"/>
      <w:szCs w:val="16"/>
    </w:rPr>
  </w:style>
  <w:style w:type="paragraph" w:styleId="Textodecomentrio">
    <w:name w:val="annotation text"/>
    <w:basedOn w:val="Normal"/>
    <w:link w:val="TextodecomentrioChar"/>
    <w:uiPriority w:val="99"/>
    <w:semiHidden/>
    <w:unhideWhenUsed/>
    <w:rsid w:val="00AF3F6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F3F63"/>
    <w:rPr>
      <w:rFonts w:asciiTheme="minorHAnsi" w:eastAsiaTheme="minorHAnsi" w:hAnsiTheme="minorHAnsi" w:cstheme="minorBidi"/>
      <w:sz w:val="20"/>
      <w:szCs w:val="20"/>
    </w:rPr>
  </w:style>
  <w:style w:type="paragraph" w:styleId="Assuntodocomentrio">
    <w:name w:val="annotation subject"/>
    <w:basedOn w:val="Textodecomentrio"/>
    <w:next w:val="Textodecomentrio"/>
    <w:link w:val="AssuntodocomentrioChar"/>
    <w:uiPriority w:val="99"/>
    <w:semiHidden/>
    <w:unhideWhenUsed/>
    <w:rsid w:val="00AF3F63"/>
    <w:rPr>
      <w:b/>
      <w:bCs/>
    </w:rPr>
  </w:style>
  <w:style w:type="character" w:customStyle="1" w:styleId="AssuntodocomentrioChar">
    <w:name w:val="Assunto do comentário Char"/>
    <w:basedOn w:val="TextodecomentrioChar"/>
    <w:link w:val="Assuntodocomentrio"/>
    <w:uiPriority w:val="99"/>
    <w:semiHidden/>
    <w:rsid w:val="00AF3F63"/>
    <w:rPr>
      <w:rFonts w:asciiTheme="minorHAnsi" w:eastAsiaTheme="minorHAnsi" w:hAnsiTheme="minorHAnsi" w:cstheme="minorBidi"/>
      <w:b/>
      <w:bCs/>
      <w:sz w:val="20"/>
      <w:szCs w:val="20"/>
    </w:rPr>
  </w:style>
  <w:style w:type="paragraph" w:customStyle="1" w:styleId="artart">
    <w:name w:val="artart"/>
    <w:basedOn w:val="Normal"/>
    <w:rsid w:val="008902A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3975AD"/>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E308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509">
      <w:bodyDiv w:val="1"/>
      <w:marLeft w:val="0"/>
      <w:marRight w:val="0"/>
      <w:marTop w:val="0"/>
      <w:marBottom w:val="0"/>
      <w:divBdr>
        <w:top w:val="none" w:sz="0" w:space="0" w:color="auto"/>
        <w:left w:val="none" w:sz="0" w:space="0" w:color="auto"/>
        <w:bottom w:val="none" w:sz="0" w:space="0" w:color="auto"/>
        <w:right w:val="none" w:sz="0" w:space="0" w:color="auto"/>
      </w:divBdr>
    </w:div>
    <w:div w:id="31076162">
      <w:bodyDiv w:val="1"/>
      <w:marLeft w:val="0"/>
      <w:marRight w:val="0"/>
      <w:marTop w:val="0"/>
      <w:marBottom w:val="0"/>
      <w:divBdr>
        <w:top w:val="none" w:sz="0" w:space="0" w:color="auto"/>
        <w:left w:val="none" w:sz="0" w:space="0" w:color="auto"/>
        <w:bottom w:val="none" w:sz="0" w:space="0" w:color="auto"/>
        <w:right w:val="none" w:sz="0" w:space="0" w:color="auto"/>
      </w:divBdr>
    </w:div>
    <w:div w:id="100691073">
      <w:bodyDiv w:val="1"/>
      <w:marLeft w:val="0"/>
      <w:marRight w:val="0"/>
      <w:marTop w:val="0"/>
      <w:marBottom w:val="0"/>
      <w:divBdr>
        <w:top w:val="none" w:sz="0" w:space="0" w:color="auto"/>
        <w:left w:val="none" w:sz="0" w:space="0" w:color="auto"/>
        <w:bottom w:val="none" w:sz="0" w:space="0" w:color="auto"/>
        <w:right w:val="none" w:sz="0" w:space="0" w:color="auto"/>
      </w:divBdr>
    </w:div>
    <w:div w:id="118232838">
      <w:bodyDiv w:val="1"/>
      <w:marLeft w:val="0"/>
      <w:marRight w:val="0"/>
      <w:marTop w:val="0"/>
      <w:marBottom w:val="0"/>
      <w:divBdr>
        <w:top w:val="none" w:sz="0" w:space="0" w:color="auto"/>
        <w:left w:val="none" w:sz="0" w:space="0" w:color="auto"/>
        <w:bottom w:val="none" w:sz="0" w:space="0" w:color="auto"/>
        <w:right w:val="none" w:sz="0" w:space="0" w:color="auto"/>
      </w:divBdr>
    </w:div>
    <w:div w:id="155999332">
      <w:bodyDiv w:val="1"/>
      <w:marLeft w:val="0"/>
      <w:marRight w:val="0"/>
      <w:marTop w:val="0"/>
      <w:marBottom w:val="0"/>
      <w:divBdr>
        <w:top w:val="none" w:sz="0" w:space="0" w:color="auto"/>
        <w:left w:val="none" w:sz="0" w:space="0" w:color="auto"/>
        <w:bottom w:val="none" w:sz="0" w:space="0" w:color="auto"/>
        <w:right w:val="none" w:sz="0" w:space="0" w:color="auto"/>
      </w:divBdr>
    </w:div>
    <w:div w:id="200479860">
      <w:bodyDiv w:val="1"/>
      <w:marLeft w:val="0"/>
      <w:marRight w:val="0"/>
      <w:marTop w:val="0"/>
      <w:marBottom w:val="0"/>
      <w:divBdr>
        <w:top w:val="none" w:sz="0" w:space="0" w:color="auto"/>
        <w:left w:val="none" w:sz="0" w:space="0" w:color="auto"/>
        <w:bottom w:val="none" w:sz="0" w:space="0" w:color="auto"/>
        <w:right w:val="none" w:sz="0" w:space="0" w:color="auto"/>
      </w:divBdr>
    </w:div>
    <w:div w:id="234634307">
      <w:bodyDiv w:val="1"/>
      <w:marLeft w:val="0"/>
      <w:marRight w:val="0"/>
      <w:marTop w:val="0"/>
      <w:marBottom w:val="0"/>
      <w:divBdr>
        <w:top w:val="none" w:sz="0" w:space="0" w:color="auto"/>
        <w:left w:val="none" w:sz="0" w:space="0" w:color="auto"/>
        <w:bottom w:val="none" w:sz="0" w:space="0" w:color="auto"/>
        <w:right w:val="none" w:sz="0" w:space="0" w:color="auto"/>
      </w:divBdr>
    </w:div>
    <w:div w:id="234903665">
      <w:bodyDiv w:val="1"/>
      <w:marLeft w:val="0"/>
      <w:marRight w:val="0"/>
      <w:marTop w:val="0"/>
      <w:marBottom w:val="0"/>
      <w:divBdr>
        <w:top w:val="none" w:sz="0" w:space="0" w:color="auto"/>
        <w:left w:val="none" w:sz="0" w:space="0" w:color="auto"/>
        <w:bottom w:val="none" w:sz="0" w:space="0" w:color="auto"/>
        <w:right w:val="none" w:sz="0" w:space="0" w:color="auto"/>
      </w:divBdr>
    </w:div>
    <w:div w:id="243536609">
      <w:bodyDiv w:val="1"/>
      <w:marLeft w:val="0"/>
      <w:marRight w:val="0"/>
      <w:marTop w:val="0"/>
      <w:marBottom w:val="0"/>
      <w:divBdr>
        <w:top w:val="none" w:sz="0" w:space="0" w:color="auto"/>
        <w:left w:val="none" w:sz="0" w:space="0" w:color="auto"/>
        <w:bottom w:val="none" w:sz="0" w:space="0" w:color="auto"/>
        <w:right w:val="none" w:sz="0" w:space="0" w:color="auto"/>
      </w:divBdr>
    </w:div>
    <w:div w:id="264970640">
      <w:bodyDiv w:val="1"/>
      <w:marLeft w:val="0"/>
      <w:marRight w:val="0"/>
      <w:marTop w:val="0"/>
      <w:marBottom w:val="0"/>
      <w:divBdr>
        <w:top w:val="none" w:sz="0" w:space="0" w:color="auto"/>
        <w:left w:val="none" w:sz="0" w:space="0" w:color="auto"/>
        <w:bottom w:val="none" w:sz="0" w:space="0" w:color="auto"/>
        <w:right w:val="none" w:sz="0" w:space="0" w:color="auto"/>
      </w:divBdr>
    </w:div>
    <w:div w:id="348222048">
      <w:bodyDiv w:val="1"/>
      <w:marLeft w:val="0"/>
      <w:marRight w:val="0"/>
      <w:marTop w:val="0"/>
      <w:marBottom w:val="0"/>
      <w:divBdr>
        <w:top w:val="none" w:sz="0" w:space="0" w:color="auto"/>
        <w:left w:val="none" w:sz="0" w:space="0" w:color="auto"/>
        <w:bottom w:val="none" w:sz="0" w:space="0" w:color="auto"/>
        <w:right w:val="none" w:sz="0" w:space="0" w:color="auto"/>
      </w:divBdr>
    </w:div>
    <w:div w:id="391194860">
      <w:bodyDiv w:val="1"/>
      <w:marLeft w:val="0"/>
      <w:marRight w:val="0"/>
      <w:marTop w:val="0"/>
      <w:marBottom w:val="0"/>
      <w:divBdr>
        <w:top w:val="none" w:sz="0" w:space="0" w:color="auto"/>
        <w:left w:val="none" w:sz="0" w:space="0" w:color="auto"/>
        <w:bottom w:val="none" w:sz="0" w:space="0" w:color="auto"/>
        <w:right w:val="none" w:sz="0" w:space="0" w:color="auto"/>
      </w:divBdr>
    </w:div>
    <w:div w:id="397872455">
      <w:bodyDiv w:val="1"/>
      <w:marLeft w:val="0"/>
      <w:marRight w:val="0"/>
      <w:marTop w:val="0"/>
      <w:marBottom w:val="0"/>
      <w:divBdr>
        <w:top w:val="none" w:sz="0" w:space="0" w:color="auto"/>
        <w:left w:val="none" w:sz="0" w:space="0" w:color="auto"/>
        <w:bottom w:val="none" w:sz="0" w:space="0" w:color="auto"/>
        <w:right w:val="none" w:sz="0" w:space="0" w:color="auto"/>
      </w:divBdr>
    </w:div>
    <w:div w:id="459151963">
      <w:bodyDiv w:val="1"/>
      <w:marLeft w:val="0"/>
      <w:marRight w:val="0"/>
      <w:marTop w:val="0"/>
      <w:marBottom w:val="0"/>
      <w:divBdr>
        <w:top w:val="none" w:sz="0" w:space="0" w:color="auto"/>
        <w:left w:val="none" w:sz="0" w:space="0" w:color="auto"/>
        <w:bottom w:val="none" w:sz="0" w:space="0" w:color="auto"/>
        <w:right w:val="none" w:sz="0" w:space="0" w:color="auto"/>
      </w:divBdr>
    </w:div>
    <w:div w:id="520626256">
      <w:bodyDiv w:val="1"/>
      <w:marLeft w:val="0"/>
      <w:marRight w:val="0"/>
      <w:marTop w:val="0"/>
      <w:marBottom w:val="0"/>
      <w:divBdr>
        <w:top w:val="none" w:sz="0" w:space="0" w:color="auto"/>
        <w:left w:val="none" w:sz="0" w:space="0" w:color="auto"/>
        <w:bottom w:val="none" w:sz="0" w:space="0" w:color="auto"/>
        <w:right w:val="none" w:sz="0" w:space="0" w:color="auto"/>
      </w:divBdr>
    </w:div>
    <w:div w:id="532302273">
      <w:bodyDiv w:val="1"/>
      <w:marLeft w:val="0"/>
      <w:marRight w:val="0"/>
      <w:marTop w:val="0"/>
      <w:marBottom w:val="0"/>
      <w:divBdr>
        <w:top w:val="none" w:sz="0" w:space="0" w:color="auto"/>
        <w:left w:val="none" w:sz="0" w:space="0" w:color="auto"/>
        <w:bottom w:val="none" w:sz="0" w:space="0" w:color="auto"/>
        <w:right w:val="none" w:sz="0" w:space="0" w:color="auto"/>
      </w:divBdr>
      <w:divsChild>
        <w:div w:id="75127184">
          <w:blockQuote w:val="1"/>
          <w:marLeft w:val="720"/>
          <w:marRight w:val="0"/>
          <w:marTop w:val="480"/>
          <w:marBottom w:val="0"/>
          <w:divBdr>
            <w:top w:val="none" w:sz="0" w:space="0" w:color="auto"/>
            <w:left w:val="none" w:sz="0" w:space="0" w:color="auto"/>
            <w:bottom w:val="none" w:sz="0" w:space="0" w:color="auto"/>
            <w:right w:val="none" w:sz="0" w:space="0" w:color="auto"/>
          </w:divBdr>
        </w:div>
        <w:div w:id="467820786">
          <w:blockQuote w:val="1"/>
          <w:marLeft w:val="720"/>
          <w:marRight w:val="0"/>
          <w:marTop w:val="480"/>
          <w:marBottom w:val="0"/>
          <w:divBdr>
            <w:top w:val="none" w:sz="0" w:space="0" w:color="auto"/>
            <w:left w:val="none" w:sz="0" w:space="0" w:color="auto"/>
            <w:bottom w:val="none" w:sz="0" w:space="0" w:color="auto"/>
            <w:right w:val="none" w:sz="0" w:space="0" w:color="auto"/>
          </w:divBdr>
        </w:div>
        <w:div w:id="914514766">
          <w:blockQuote w:val="1"/>
          <w:marLeft w:val="720"/>
          <w:marRight w:val="0"/>
          <w:marTop w:val="480"/>
          <w:marBottom w:val="0"/>
          <w:divBdr>
            <w:top w:val="none" w:sz="0" w:space="0" w:color="auto"/>
            <w:left w:val="none" w:sz="0" w:space="0" w:color="auto"/>
            <w:bottom w:val="none" w:sz="0" w:space="0" w:color="auto"/>
            <w:right w:val="none" w:sz="0" w:space="0" w:color="auto"/>
          </w:divBdr>
        </w:div>
        <w:div w:id="1452823282">
          <w:blockQuote w:val="1"/>
          <w:marLeft w:val="720"/>
          <w:marRight w:val="0"/>
          <w:marTop w:val="480"/>
          <w:marBottom w:val="0"/>
          <w:divBdr>
            <w:top w:val="none" w:sz="0" w:space="0" w:color="auto"/>
            <w:left w:val="none" w:sz="0" w:space="0" w:color="auto"/>
            <w:bottom w:val="none" w:sz="0" w:space="0" w:color="auto"/>
            <w:right w:val="none" w:sz="0" w:space="0" w:color="auto"/>
          </w:divBdr>
        </w:div>
      </w:divsChild>
    </w:div>
    <w:div w:id="543248383">
      <w:bodyDiv w:val="1"/>
      <w:marLeft w:val="0"/>
      <w:marRight w:val="0"/>
      <w:marTop w:val="0"/>
      <w:marBottom w:val="0"/>
      <w:divBdr>
        <w:top w:val="none" w:sz="0" w:space="0" w:color="auto"/>
        <w:left w:val="none" w:sz="0" w:space="0" w:color="auto"/>
        <w:bottom w:val="none" w:sz="0" w:space="0" w:color="auto"/>
        <w:right w:val="none" w:sz="0" w:space="0" w:color="auto"/>
      </w:divBdr>
    </w:div>
    <w:div w:id="568225634">
      <w:bodyDiv w:val="1"/>
      <w:marLeft w:val="0"/>
      <w:marRight w:val="0"/>
      <w:marTop w:val="0"/>
      <w:marBottom w:val="0"/>
      <w:divBdr>
        <w:top w:val="none" w:sz="0" w:space="0" w:color="auto"/>
        <w:left w:val="none" w:sz="0" w:space="0" w:color="auto"/>
        <w:bottom w:val="none" w:sz="0" w:space="0" w:color="auto"/>
        <w:right w:val="none" w:sz="0" w:space="0" w:color="auto"/>
      </w:divBdr>
    </w:div>
    <w:div w:id="577523241">
      <w:bodyDiv w:val="1"/>
      <w:marLeft w:val="0"/>
      <w:marRight w:val="0"/>
      <w:marTop w:val="0"/>
      <w:marBottom w:val="0"/>
      <w:divBdr>
        <w:top w:val="none" w:sz="0" w:space="0" w:color="auto"/>
        <w:left w:val="none" w:sz="0" w:space="0" w:color="auto"/>
        <w:bottom w:val="none" w:sz="0" w:space="0" w:color="auto"/>
        <w:right w:val="none" w:sz="0" w:space="0" w:color="auto"/>
      </w:divBdr>
      <w:divsChild>
        <w:div w:id="796949216">
          <w:marLeft w:val="0"/>
          <w:marRight w:val="0"/>
          <w:marTop w:val="0"/>
          <w:marBottom w:val="0"/>
          <w:divBdr>
            <w:top w:val="none" w:sz="0" w:space="0" w:color="auto"/>
            <w:left w:val="none" w:sz="0" w:space="0" w:color="auto"/>
            <w:bottom w:val="none" w:sz="0" w:space="0" w:color="auto"/>
            <w:right w:val="none" w:sz="0" w:space="0" w:color="auto"/>
          </w:divBdr>
          <w:divsChild>
            <w:div w:id="116989999">
              <w:marLeft w:val="0"/>
              <w:marRight w:val="0"/>
              <w:marTop w:val="0"/>
              <w:marBottom w:val="0"/>
              <w:divBdr>
                <w:top w:val="none" w:sz="0" w:space="0" w:color="auto"/>
                <w:left w:val="none" w:sz="0" w:space="0" w:color="auto"/>
                <w:bottom w:val="none" w:sz="0" w:space="0" w:color="auto"/>
                <w:right w:val="none" w:sz="0" w:space="0" w:color="auto"/>
              </w:divBdr>
            </w:div>
            <w:div w:id="122425696">
              <w:marLeft w:val="0"/>
              <w:marRight w:val="0"/>
              <w:marTop w:val="0"/>
              <w:marBottom w:val="0"/>
              <w:divBdr>
                <w:top w:val="none" w:sz="0" w:space="0" w:color="auto"/>
                <w:left w:val="none" w:sz="0" w:space="0" w:color="auto"/>
                <w:bottom w:val="none" w:sz="0" w:space="0" w:color="auto"/>
                <w:right w:val="none" w:sz="0" w:space="0" w:color="auto"/>
              </w:divBdr>
            </w:div>
            <w:div w:id="235945121">
              <w:marLeft w:val="0"/>
              <w:marRight w:val="0"/>
              <w:marTop w:val="0"/>
              <w:marBottom w:val="0"/>
              <w:divBdr>
                <w:top w:val="none" w:sz="0" w:space="0" w:color="auto"/>
                <w:left w:val="none" w:sz="0" w:space="0" w:color="auto"/>
                <w:bottom w:val="none" w:sz="0" w:space="0" w:color="auto"/>
                <w:right w:val="none" w:sz="0" w:space="0" w:color="auto"/>
              </w:divBdr>
            </w:div>
            <w:div w:id="325941432">
              <w:marLeft w:val="0"/>
              <w:marRight w:val="0"/>
              <w:marTop w:val="0"/>
              <w:marBottom w:val="0"/>
              <w:divBdr>
                <w:top w:val="none" w:sz="0" w:space="0" w:color="auto"/>
                <w:left w:val="none" w:sz="0" w:space="0" w:color="auto"/>
                <w:bottom w:val="none" w:sz="0" w:space="0" w:color="auto"/>
                <w:right w:val="none" w:sz="0" w:space="0" w:color="auto"/>
              </w:divBdr>
            </w:div>
            <w:div w:id="335621586">
              <w:marLeft w:val="0"/>
              <w:marRight w:val="0"/>
              <w:marTop w:val="0"/>
              <w:marBottom w:val="0"/>
              <w:divBdr>
                <w:top w:val="none" w:sz="0" w:space="0" w:color="auto"/>
                <w:left w:val="none" w:sz="0" w:space="0" w:color="auto"/>
                <w:bottom w:val="none" w:sz="0" w:space="0" w:color="auto"/>
                <w:right w:val="none" w:sz="0" w:space="0" w:color="auto"/>
              </w:divBdr>
            </w:div>
            <w:div w:id="535461736">
              <w:marLeft w:val="0"/>
              <w:marRight w:val="0"/>
              <w:marTop w:val="0"/>
              <w:marBottom w:val="0"/>
              <w:divBdr>
                <w:top w:val="none" w:sz="0" w:space="0" w:color="auto"/>
                <w:left w:val="none" w:sz="0" w:space="0" w:color="auto"/>
                <w:bottom w:val="none" w:sz="0" w:space="0" w:color="auto"/>
                <w:right w:val="none" w:sz="0" w:space="0" w:color="auto"/>
              </w:divBdr>
            </w:div>
            <w:div w:id="571887306">
              <w:marLeft w:val="0"/>
              <w:marRight w:val="0"/>
              <w:marTop w:val="0"/>
              <w:marBottom w:val="0"/>
              <w:divBdr>
                <w:top w:val="none" w:sz="0" w:space="0" w:color="auto"/>
                <w:left w:val="none" w:sz="0" w:space="0" w:color="auto"/>
                <w:bottom w:val="none" w:sz="0" w:space="0" w:color="auto"/>
                <w:right w:val="none" w:sz="0" w:space="0" w:color="auto"/>
              </w:divBdr>
            </w:div>
            <w:div w:id="632297579">
              <w:marLeft w:val="0"/>
              <w:marRight w:val="0"/>
              <w:marTop w:val="0"/>
              <w:marBottom w:val="0"/>
              <w:divBdr>
                <w:top w:val="none" w:sz="0" w:space="0" w:color="auto"/>
                <w:left w:val="none" w:sz="0" w:space="0" w:color="auto"/>
                <w:bottom w:val="none" w:sz="0" w:space="0" w:color="auto"/>
                <w:right w:val="none" w:sz="0" w:space="0" w:color="auto"/>
              </w:divBdr>
            </w:div>
            <w:div w:id="810096615">
              <w:marLeft w:val="0"/>
              <w:marRight w:val="0"/>
              <w:marTop w:val="0"/>
              <w:marBottom w:val="0"/>
              <w:divBdr>
                <w:top w:val="none" w:sz="0" w:space="0" w:color="auto"/>
                <w:left w:val="none" w:sz="0" w:space="0" w:color="auto"/>
                <w:bottom w:val="none" w:sz="0" w:space="0" w:color="auto"/>
                <w:right w:val="none" w:sz="0" w:space="0" w:color="auto"/>
              </w:divBdr>
            </w:div>
            <w:div w:id="1010059271">
              <w:marLeft w:val="0"/>
              <w:marRight w:val="0"/>
              <w:marTop w:val="0"/>
              <w:marBottom w:val="0"/>
              <w:divBdr>
                <w:top w:val="none" w:sz="0" w:space="0" w:color="auto"/>
                <w:left w:val="none" w:sz="0" w:space="0" w:color="auto"/>
                <w:bottom w:val="none" w:sz="0" w:space="0" w:color="auto"/>
                <w:right w:val="none" w:sz="0" w:space="0" w:color="auto"/>
              </w:divBdr>
            </w:div>
            <w:div w:id="1302610292">
              <w:marLeft w:val="0"/>
              <w:marRight w:val="0"/>
              <w:marTop w:val="0"/>
              <w:marBottom w:val="0"/>
              <w:divBdr>
                <w:top w:val="none" w:sz="0" w:space="0" w:color="auto"/>
                <w:left w:val="none" w:sz="0" w:space="0" w:color="auto"/>
                <w:bottom w:val="none" w:sz="0" w:space="0" w:color="auto"/>
                <w:right w:val="none" w:sz="0" w:space="0" w:color="auto"/>
              </w:divBdr>
            </w:div>
            <w:div w:id="1330674187">
              <w:marLeft w:val="0"/>
              <w:marRight w:val="0"/>
              <w:marTop w:val="0"/>
              <w:marBottom w:val="0"/>
              <w:divBdr>
                <w:top w:val="none" w:sz="0" w:space="0" w:color="auto"/>
                <w:left w:val="none" w:sz="0" w:space="0" w:color="auto"/>
                <w:bottom w:val="none" w:sz="0" w:space="0" w:color="auto"/>
                <w:right w:val="none" w:sz="0" w:space="0" w:color="auto"/>
              </w:divBdr>
            </w:div>
            <w:div w:id="1434085408">
              <w:marLeft w:val="0"/>
              <w:marRight w:val="0"/>
              <w:marTop w:val="0"/>
              <w:marBottom w:val="0"/>
              <w:divBdr>
                <w:top w:val="none" w:sz="0" w:space="0" w:color="auto"/>
                <w:left w:val="none" w:sz="0" w:space="0" w:color="auto"/>
                <w:bottom w:val="none" w:sz="0" w:space="0" w:color="auto"/>
                <w:right w:val="none" w:sz="0" w:space="0" w:color="auto"/>
              </w:divBdr>
            </w:div>
            <w:div w:id="1606231891">
              <w:marLeft w:val="0"/>
              <w:marRight w:val="0"/>
              <w:marTop w:val="0"/>
              <w:marBottom w:val="0"/>
              <w:divBdr>
                <w:top w:val="none" w:sz="0" w:space="0" w:color="auto"/>
                <w:left w:val="none" w:sz="0" w:space="0" w:color="auto"/>
                <w:bottom w:val="none" w:sz="0" w:space="0" w:color="auto"/>
                <w:right w:val="none" w:sz="0" w:space="0" w:color="auto"/>
              </w:divBdr>
            </w:div>
            <w:div w:id="1695614967">
              <w:marLeft w:val="0"/>
              <w:marRight w:val="0"/>
              <w:marTop w:val="0"/>
              <w:marBottom w:val="0"/>
              <w:divBdr>
                <w:top w:val="none" w:sz="0" w:space="0" w:color="auto"/>
                <w:left w:val="none" w:sz="0" w:space="0" w:color="auto"/>
                <w:bottom w:val="none" w:sz="0" w:space="0" w:color="auto"/>
                <w:right w:val="none" w:sz="0" w:space="0" w:color="auto"/>
              </w:divBdr>
            </w:div>
            <w:div w:id="17760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2070">
      <w:bodyDiv w:val="1"/>
      <w:marLeft w:val="0"/>
      <w:marRight w:val="0"/>
      <w:marTop w:val="0"/>
      <w:marBottom w:val="0"/>
      <w:divBdr>
        <w:top w:val="none" w:sz="0" w:space="0" w:color="auto"/>
        <w:left w:val="none" w:sz="0" w:space="0" w:color="auto"/>
        <w:bottom w:val="none" w:sz="0" w:space="0" w:color="auto"/>
        <w:right w:val="none" w:sz="0" w:space="0" w:color="auto"/>
      </w:divBdr>
      <w:divsChild>
        <w:div w:id="819152022">
          <w:blockQuote w:val="1"/>
          <w:marLeft w:val="720"/>
          <w:marRight w:val="720"/>
          <w:marTop w:val="100"/>
          <w:marBottom w:val="100"/>
          <w:divBdr>
            <w:top w:val="none" w:sz="0" w:space="0" w:color="auto"/>
            <w:left w:val="none" w:sz="0" w:space="0" w:color="auto"/>
            <w:bottom w:val="none" w:sz="0" w:space="0" w:color="auto"/>
            <w:right w:val="none" w:sz="0" w:space="0" w:color="auto"/>
          </w:divBdr>
        </w:div>
        <w:div w:id="92249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44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263288">
      <w:bodyDiv w:val="1"/>
      <w:marLeft w:val="0"/>
      <w:marRight w:val="0"/>
      <w:marTop w:val="0"/>
      <w:marBottom w:val="0"/>
      <w:divBdr>
        <w:top w:val="none" w:sz="0" w:space="0" w:color="auto"/>
        <w:left w:val="none" w:sz="0" w:space="0" w:color="auto"/>
        <w:bottom w:val="none" w:sz="0" w:space="0" w:color="auto"/>
        <w:right w:val="none" w:sz="0" w:space="0" w:color="auto"/>
      </w:divBdr>
    </w:div>
    <w:div w:id="674069205">
      <w:bodyDiv w:val="1"/>
      <w:marLeft w:val="0"/>
      <w:marRight w:val="0"/>
      <w:marTop w:val="0"/>
      <w:marBottom w:val="0"/>
      <w:divBdr>
        <w:top w:val="none" w:sz="0" w:space="0" w:color="auto"/>
        <w:left w:val="none" w:sz="0" w:space="0" w:color="auto"/>
        <w:bottom w:val="none" w:sz="0" w:space="0" w:color="auto"/>
        <w:right w:val="none" w:sz="0" w:space="0" w:color="auto"/>
      </w:divBdr>
    </w:div>
    <w:div w:id="691300607">
      <w:bodyDiv w:val="1"/>
      <w:marLeft w:val="0"/>
      <w:marRight w:val="0"/>
      <w:marTop w:val="0"/>
      <w:marBottom w:val="0"/>
      <w:divBdr>
        <w:top w:val="none" w:sz="0" w:space="0" w:color="auto"/>
        <w:left w:val="none" w:sz="0" w:space="0" w:color="auto"/>
        <w:bottom w:val="none" w:sz="0" w:space="0" w:color="auto"/>
        <w:right w:val="none" w:sz="0" w:space="0" w:color="auto"/>
      </w:divBdr>
    </w:div>
    <w:div w:id="726103992">
      <w:bodyDiv w:val="1"/>
      <w:marLeft w:val="0"/>
      <w:marRight w:val="0"/>
      <w:marTop w:val="0"/>
      <w:marBottom w:val="0"/>
      <w:divBdr>
        <w:top w:val="none" w:sz="0" w:space="0" w:color="auto"/>
        <w:left w:val="none" w:sz="0" w:space="0" w:color="auto"/>
        <w:bottom w:val="none" w:sz="0" w:space="0" w:color="auto"/>
        <w:right w:val="none" w:sz="0" w:space="0" w:color="auto"/>
      </w:divBdr>
    </w:div>
    <w:div w:id="738484351">
      <w:bodyDiv w:val="1"/>
      <w:marLeft w:val="0"/>
      <w:marRight w:val="0"/>
      <w:marTop w:val="0"/>
      <w:marBottom w:val="0"/>
      <w:divBdr>
        <w:top w:val="none" w:sz="0" w:space="0" w:color="auto"/>
        <w:left w:val="none" w:sz="0" w:space="0" w:color="auto"/>
        <w:bottom w:val="none" w:sz="0" w:space="0" w:color="auto"/>
        <w:right w:val="none" w:sz="0" w:space="0" w:color="auto"/>
      </w:divBdr>
    </w:div>
    <w:div w:id="835462855">
      <w:bodyDiv w:val="1"/>
      <w:marLeft w:val="0"/>
      <w:marRight w:val="0"/>
      <w:marTop w:val="0"/>
      <w:marBottom w:val="0"/>
      <w:divBdr>
        <w:top w:val="none" w:sz="0" w:space="0" w:color="auto"/>
        <w:left w:val="none" w:sz="0" w:space="0" w:color="auto"/>
        <w:bottom w:val="none" w:sz="0" w:space="0" w:color="auto"/>
        <w:right w:val="none" w:sz="0" w:space="0" w:color="auto"/>
      </w:divBdr>
    </w:div>
    <w:div w:id="839925493">
      <w:bodyDiv w:val="1"/>
      <w:marLeft w:val="0"/>
      <w:marRight w:val="0"/>
      <w:marTop w:val="0"/>
      <w:marBottom w:val="0"/>
      <w:divBdr>
        <w:top w:val="none" w:sz="0" w:space="0" w:color="auto"/>
        <w:left w:val="none" w:sz="0" w:space="0" w:color="auto"/>
        <w:bottom w:val="none" w:sz="0" w:space="0" w:color="auto"/>
        <w:right w:val="none" w:sz="0" w:space="0" w:color="auto"/>
      </w:divBdr>
    </w:div>
    <w:div w:id="865558807">
      <w:bodyDiv w:val="1"/>
      <w:marLeft w:val="0"/>
      <w:marRight w:val="0"/>
      <w:marTop w:val="0"/>
      <w:marBottom w:val="0"/>
      <w:divBdr>
        <w:top w:val="none" w:sz="0" w:space="0" w:color="auto"/>
        <w:left w:val="none" w:sz="0" w:space="0" w:color="auto"/>
        <w:bottom w:val="none" w:sz="0" w:space="0" w:color="auto"/>
        <w:right w:val="none" w:sz="0" w:space="0" w:color="auto"/>
      </w:divBdr>
    </w:div>
    <w:div w:id="867255534">
      <w:bodyDiv w:val="1"/>
      <w:marLeft w:val="0"/>
      <w:marRight w:val="0"/>
      <w:marTop w:val="0"/>
      <w:marBottom w:val="0"/>
      <w:divBdr>
        <w:top w:val="none" w:sz="0" w:space="0" w:color="auto"/>
        <w:left w:val="none" w:sz="0" w:space="0" w:color="auto"/>
        <w:bottom w:val="none" w:sz="0" w:space="0" w:color="auto"/>
        <w:right w:val="none" w:sz="0" w:space="0" w:color="auto"/>
      </w:divBdr>
    </w:div>
    <w:div w:id="877661403">
      <w:bodyDiv w:val="1"/>
      <w:marLeft w:val="0"/>
      <w:marRight w:val="0"/>
      <w:marTop w:val="0"/>
      <w:marBottom w:val="0"/>
      <w:divBdr>
        <w:top w:val="none" w:sz="0" w:space="0" w:color="auto"/>
        <w:left w:val="none" w:sz="0" w:space="0" w:color="auto"/>
        <w:bottom w:val="none" w:sz="0" w:space="0" w:color="auto"/>
        <w:right w:val="none" w:sz="0" w:space="0" w:color="auto"/>
      </w:divBdr>
    </w:div>
    <w:div w:id="913127351">
      <w:bodyDiv w:val="1"/>
      <w:marLeft w:val="0"/>
      <w:marRight w:val="0"/>
      <w:marTop w:val="0"/>
      <w:marBottom w:val="0"/>
      <w:divBdr>
        <w:top w:val="none" w:sz="0" w:space="0" w:color="auto"/>
        <w:left w:val="none" w:sz="0" w:space="0" w:color="auto"/>
        <w:bottom w:val="none" w:sz="0" w:space="0" w:color="auto"/>
        <w:right w:val="none" w:sz="0" w:space="0" w:color="auto"/>
      </w:divBdr>
    </w:div>
    <w:div w:id="936986491">
      <w:bodyDiv w:val="1"/>
      <w:marLeft w:val="0"/>
      <w:marRight w:val="0"/>
      <w:marTop w:val="0"/>
      <w:marBottom w:val="0"/>
      <w:divBdr>
        <w:top w:val="none" w:sz="0" w:space="0" w:color="auto"/>
        <w:left w:val="none" w:sz="0" w:space="0" w:color="auto"/>
        <w:bottom w:val="none" w:sz="0" w:space="0" w:color="auto"/>
        <w:right w:val="none" w:sz="0" w:space="0" w:color="auto"/>
      </w:divBdr>
    </w:div>
    <w:div w:id="949698240">
      <w:bodyDiv w:val="1"/>
      <w:marLeft w:val="0"/>
      <w:marRight w:val="0"/>
      <w:marTop w:val="0"/>
      <w:marBottom w:val="0"/>
      <w:divBdr>
        <w:top w:val="none" w:sz="0" w:space="0" w:color="auto"/>
        <w:left w:val="none" w:sz="0" w:space="0" w:color="auto"/>
        <w:bottom w:val="none" w:sz="0" w:space="0" w:color="auto"/>
        <w:right w:val="none" w:sz="0" w:space="0" w:color="auto"/>
      </w:divBdr>
    </w:div>
    <w:div w:id="955478805">
      <w:bodyDiv w:val="1"/>
      <w:marLeft w:val="0"/>
      <w:marRight w:val="0"/>
      <w:marTop w:val="0"/>
      <w:marBottom w:val="0"/>
      <w:divBdr>
        <w:top w:val="none" w:sz="0" w:space="0" w:color="auto"/>
        <w:left w:val="none" w:sz="0" w:space="0" w:color="auto"/>
        <w:bottom w:val="none" w:sz="0" w:space="0" w:color="auto"/>
        <w:right w:val="none" w:sz="0" w:space="0" w:color="auto"/>
      </w:divBdr>
    </w:div>
    <w:div w:id="1008211116">
      <w:bodyDiv w:val="1"/>
      <w:marLeft w:val="0"/>
      <w:marRight w:val="0"/>
      <w:marTop w:val="0"/>
      <w:marBottom w:val="0"/>
      <w:divBdr>
        <w:top w:val="none" w:sz="0" w:space="0" w:color="auto"/>
        <w:left w:val="none" w:sz="0" w:space="0" w:color="auto"/>
        <w:bottom w:val="none" w:sz="0" w:space="0" w:color="auto"/>
        <w:right w:val="none" w:sz="0" w:space="0" w:color="auto"/>
      </w:divBdr>
    </w:div>
    <w:div w:id="1016270720">
      <w:bodyDiv w:val="1"/>
      <w:marLeft w:val="0"/>
      <w:marRight w:val="0"/>
      <w:marTop w:val="0"/>
      <w:marBottom w:val="0"/>
      <w:divBdr>
        <w:top w:val="none" w:sz="0" w:space="0" w:color="auto"/>
        <w:left w:val="none" w:sz="0" w:space="0" w:color="auto"/>
        <w:bottom w:val="none" w:sz="0" w:space="0" w:color="auto"/>
        <w:right w:val="none" w:sz="0" w:space="0" w:color="auto"/>
      </w:divBdr>
      <w:divsChild>
        <w:div w:id="1790201496">
          <w:marLeft w:val="0"/>
          <w:marRight w:val="0"/>
          <w:marTop w:val="0"/>
          <w:marBottom w:val="0"/>
          <w:divBdr>
            <w:top w:val="none" w:sz="0" w:space="0" w:color="auto"/>
            <w:left w:val="none" w:sz="0" w:space="0" w:color="auto"/>
            <w:bottom w:val="none" w:sz="0" w:space="0" w:color="auto"/>
            <w:right w:val="none" w:sz="0" w:space="0" w:color="auto"/>
          </w:divBdr>
        </w:div>
        <w:div w:id="1841001650">
          <w:marLeft w:val="0"/>
          <w:marRight w:val="0"/>
          <w:marTop w:val="0"/>
          <w:marBottom w:val="0"/>
          <w:divBdr>
            <w:top w:val="none" w:sz="0" w:space="0" w:color="auto"/>
            <w:left w:val="none" w:sz="0" w:space="0" w:color="auto"/>
            <w:bottom w:val="none" w:sz="0" w:space="0" w:color="auto"/>
            <w:right w:val="none" w:sz="0" w:space="0" w:color="auto"/>
          </w:divBdr>
        </w:div>
        <w:div w:id="1903249373">
          <w:marLeft w:val="0"/>
          <w:marRight w:val="0"/>
          <w:marTop w:val="0"/>
          <w:marBottom w:val="0"/>
          <w:divBdr>
            <w:top w:val="none" w:sz="0" w:space="0" w:color="auto"/>
            <w:left w:val="none" w:sz="0" w:space="0" w:color="auto"/>
            <w:bottom w:val="none" w:sz="0" w:space="0" w:color="auto"/>
            <w:right w:val="none" w:sz="0" w:space="0" w:color="auto"/>
          </w:divBdr>
        </w:div>
        <w:div w:id="1969317371">
          <w:marLeft w:val="0"/>
          <w:marRight w:val="0"/>
          <w:marTop w:val="0"/>
          <w:marBottom w:val="0"/>
          <w:divBdr>
            <w:top w:val="none" w:sz="0" w:space="0" w:color="auto"/>
            <w:left w:val="none" w:sz="0" w:space="0" w:color="auto"/>
            <w:bottom w:val="none" w:sz="0" w:space="0" w:color="auto"/>
            <w:right w:val="none" w:sz="0" w:space="0" w:color="auto"/>
          </w:divBdr>
        </w:div>
      </w:divsChild>
    </w:div>
    <w:div w:id="1061948421">
      <w:bodyDiv w:val="1"/>
      <w:marLeft w:val="0"/>
      <w:marRight w:val="0"/>
      <w:marTop w:val="0"/>
      <w:marBottom w:val="0"/>
      <w:divBdr>
        <w:top w:val="none" w:sz="0" w:space="0" w:color="auto"/>
        <w:left w:val="none" w:sz="0" w:space="0" w:color="auto"/>
        <w:bottom w:val="none" w:sz="0" w:space="0" w:color="auto"/>
        <w:right w:val="none" w:sz="0" w:space="0" w:color="auto"/>
      </w:divBdr>
    </w:div>
    <w:div w:id="1184592130">
      <w:bodyDiv w:val="1"/>
      <w:marLeft w:val="0"/>
      <w:marRight w:val="0"/>
      <w:marTop w:val="0"/>
      <w:marBottom w:val="0"/>
      <w:divBdr>
        <w:top w:val="none" w:sz="0" w:space="0" w:color="auto"/>
        <w:left w:val="none" w:sz="0" w:space="0" w:color="auto"/>
        <w:bottom w:val="none" w:sz="0" w:space="0" w:color="auto"/>
        <w:right w:val="none" w:sz="0" w:space="0" w:color="auto"/>
      </w:divBdr>
    </w:div>
    <w:div w:id="1209801720">
      <w:bodyDiv w:val="1"/>
      <w:marLeft w:val="0"/>
      <w:marRight w:val="0"/>
      <w:marTop w:val="0"/>
      <w:marBottom w:val="0"/>
      <w:divBdr>
        <w:top w:val="none" w:sz="0" w:space="0" w:color="auto"/>
        <w:left w:val="none" w:sz="0" w:space="0" w:color="auto"/>
        <w:bottom w:val="none" w:sz="0" w:space="0" w:color="auto"/>
        <w:right w:val="none" w:sz="0" w:space="0" w:color="auto"/>
      </w:divBdr>
    </w:div>
    <w:div w:id="1214730832">
      <w:bodyDiv w:val="1"/>
      <w:marLeft w:val="0"/>
      <w:marRight w:val="0"/>
      <w:marTop w:val="0"/>
      <w:marBottom w:val="0"/>
      <w:divBdr>
        <w:top w:val="none" w:sz="0" w:space="0" w:color="auto"/>
        <w:left w:val="none" w:sz="0" w:space="0" w:color="auto"/>
        <w:bottom w:val="none" w:sz="0" w:space="0" w:color="auto"/>
        <w:right w:val="none" w:sz="0" w:space="0" w:color="auto"/>
      </w:divBdr>
    </w:div>
    <w:div w:id="1247806853">
      <w:bodyDiv w:val="1"/>
      <w:marLeft w:val="0"/>
      <w:marRight w:val="0"/>
      <w:marTop w:val="0"/>
      <w:marBottom w:val="0"/>
      <w:divBdr>
        <w:top w:val="none" w:sz="0" w:space="0" w:color="auto"/>
        <w:left w:val="none" w:sz="0" w:space="0" w:color="auto"/>
        <w:bottom w:val="none" w:sz="0" w:space="0" w:color="auto"/>
        <w:right w:val="none" w:sz="0" w:space="0" w:color="auto"/>
      </w:divBdr>
    </w:div>
    <w:div w:id="1248614203">
      <w:bodyDiv w:val="1"/>
      <w:marLeft w:val="0"/>
      <w:marRight w:val="0"/>
      <w:marTop w:val="0"/>
      <w:marBottom w:val="0"/>
      <w:divBdr>
        <w:top w:val="none" w:sz="0" w:space="0" w:color="auto"/>
        <w:left w:val="none" w:sz="0" w:space="0" w:color="auto"/>
        <w:bottom w:val="none" w:sz="0" w:space="0" w:color="auto"/>
        <w:right w:val="none" w:sz="0" w:space="0" w:color="auto"/>
      </w:divBdr>
    </w:div>
    <w:div w:id="1252425691">
      <w:bodyDiv w:val="1"/>
      <w:marLeft w:val="0"/>
      <w:marRight w:val="0"/>
      <w:marTop w:val="0"/>
      <w:marBottom w:val="0"/>
      <w:divBdr>
        <w:top w:val="none" w:sz="0" w:space="0" w:color="auto"/>
        <w:left w:val="none" w:sz="0" w:space="0" w:color="auto"/>
        <w:bottom w:val="none" w:sz="0" w:space="0" w:color="auto"/>
        <w:right w:val="none" w:sz="0" w:space="0" w:color="auto"/>
      </w:divBdr>
    </w:div>
    <w:div w:id="1258099971">
      <w:bodyDiv w:val="1"/>
      <w:marLeft w:val="0"/>
      <w:marRight w:val="0"/>
      <w:marTop w:val="0"/>
      <w:marBottom w:val="0"/>
      <w:divBdr>
        <w:top w:val="none" w:sz="0" w:space="0" w:color="auto"/>
        <w:left w:val="none" w:sz="0" w:space="0" w:color="auto"/>
        <w:bottom w:val="none" w:sz="0" w:space="0" w:color="auto"/>
        <w:right w:val="none" w:sz="0" w:space="0" w:color="auto"/>
      </w:divBdr>
      <w:divsChild>
        <w:div w:id="180179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5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496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023554">
      <w:bodyDiv w:val="1"/>
      <w:marLeft w:val="0"/>
      <w:marRight w:val="0"/>
      <w:marTop w:val="0"/>
      <w:marBottom w:val="0"/>
      <w:divBdr>
        <w:top w:val="none" w:sz="0" w:space="0" w:color="auto"/>
        <w:left w:val="none" w:sz="0" w:space="0" w:color="auto"/>
        <w:bottom w:val="none" w:sz="0" w:space="0" w:color="auto"/>
        <w:right w:val="none" w:sz="0" w:space="0" w:color="auto"/>
      </w:divBdr>
    </w:div>
    <w:div w:id="1327047913">
      <w:bodyDiv w:val="1"/>
      <w:marLeft w:val="0"/>
      <w:marRight w:val="0"/>
      <w:marTop w:val="0"/>
      <w:marBottom w:val="0"/>
      <w:divBdr>
        <w:top w:val="none" w:sz="0" w:space="0" w:color="auto"/>
        <w:left w:val="none" w:sz="0" w:space="0" w:color="auto"/>
        <w:bottom w:val="none" w:sz="0" w:space="0" w:color="auto"/>
        <w:right w:val="none" w:sz="0" w:space="0" w:color="auto"/>
      </w:divBdr>
    </w:div>
    <w:div w:id="1331644092">
      <w:bodyDiv w:val="1"/>
      <w:marLeft w:val="0"/>
      <w:marRight w:val="0"/>
      <w:marTop w:val="0"/>
      <w:marBottom w:val="0"/>
      <w:divBdr>
        <w:top w:val="none" w:sz="0" w:space="0" w:color="auto"/>
        <w:left w:val="none" w:sz="0" w:space="0" w:color="auto"/>
        <w:bottom w:val="none" w:sz="0" w:space="0" w:color="auto"/>
        <w:right w:val="none" w:sz="0" w:space="0" w:color="auto"/>
      </w:divBdr>
    </w:div>
    <w:div w:id="1336373179">
      <w:bodyDiv w:val="1"/>
      <w:marLeft w:val="0"/>
      <w:marRight w:val="0"/>
      <w:marTop w:val="0"/>
      <w:marBottom w:val="0"/>
      <w:divBdr>
        <w:top w:val="none" w:sz="0" w:space="0" w:color="auto"/>
        <w:left w:val="none" w:sz="0" w:space="0" w:color="auto"/>
        <w:bottom w:val="none" w:sz="0" w:space="0" w:color="auto"/>
        <w:right w:val="none" w:sz="0" w:space="0" w:color="auto"/>
      </w:divBdr>
    </w:div>
    <w:div w:id="1359769867">
      <w:bodyDiv w:val="1"/>
      <w:marLeft w:val="0"/>
      <w:marRight w:val="0"/>
      <w:marTop w:val="0"/>
      <w:marBottom w:val="0"/>
      <w:divBdr>
        <w:top w:val="none" w:sz="0" w:space="0" w:color="auto"/>
        <w:left w:val="none" w:sz="0" w:space="0" w:color="auto"/>
        <w:bottom w:val="none" w:sz="0" w:space="0" w:color="auto"/>
        <w:right w:val="none" w:sz="0" w:space="0" w:color="auto"/>
      </w:divBdr>
    </w:div>
    <w:div w:id="1368020205">
      <w:bodyDiv w:val="1"/>
      <w:marLeft w:val="0"/>
      <w:marRight w:val="0"/>
      <w:marTop w:val="0"/>
      <w:marBottom w:val="0"/>
      <w:divBdr>
        <w:top w:val="none" w:sz="0" w:space="0" w:color="auto"/>
        <w:left w:val="none" w:sz="0" w:space="0" w:color="auto"/>
        <w:bottom w:val="none" w:sz="0" w:space="0" w:color="auto"/>
        <w:right w:val="none" w:sz="0" w:space="0" w:color="auto"/>
      </w:divBdr>
    </w:div>
    <w:div w:id="1375620088">
      <w:bodyDiv w:val="1"/>
      <w:marLeft w:val="0"/>
      <w:marRight w:val="0"/>
      <w:marTop w:val="0"/>
      <w:marBottom w:val="0"/>
      <w:divBdr>
        <w:top w:val="none" w:sz="0" w:space="0" w:color="auto"/>
        <w:left w:val="none" w:sz="0" w:space="0" w:color="auto"/>
        <w:bottom w:val="none" w:sz="0" w:space="0" w:color="auto"/>
        <w:right w:val="none" w:sz="0" w:space="0" w:color="auto"/>
      </w:divBdr>
    </w:div>
    <w:div w:id="1411392848">
      <w:bodyDiv w:val="1"/>
      <w:marLeft w:val="0"/>
      <w:marRight w:val="0"/>
      <w:marTop w:val="0"/>
      <w:marBottom w:val="0"/>
      <w:divBdr>
        <w:top w:val="none" w:sz="0" w:space="0" w:color="auto"/>
        <w:left w:val="none" w:sz="0" w:space="0" w:color="auto"/>
        <w:bottom w:val="none" w:sz="0" w:space="0" w:color="auto"/>
        <w:right w:val="none" w:sz="0" w:space="0" w:color="auto"/>
      </w:divBdr>
    </w:div>
    <w:div w:id="1493645039">
      <w:bodyDiv w:val="1"/>
      <w:marLeft w:val="0"/>
      <w:marRight w:val="0"/>
      <w:marTop w:val="0"/>
      <w:marBottom w:val="0"/>
      <w:divBdr>
        <w:top w:val="none" w:sz="0" w:space="0" w:color="auto"/>
        <w:left w:val="none" w:sz="0" w:space="0" w:color="auto"/>
        <w:bottom w:val="none" w:sz="0" w:space="0" w:color="auto"/>
        <w:right w:val="none" w:sz="0" w:space="0" w:color="auto"/>
      </w:divBdr>
    </w:div>
    <w:div w:id="1496607027">
      <w:bodyDiv w:val="1"/>
      <w:marLeft w:val="0"/>
      <w:marRight w:val="0"/>
      <w:marTop w:val="0"/>
      <w:marBottom w:val="0"/>
      <w:divBdr>
        <w:top w:val="none" w:sz="0" w:space="0" w:color="auto"/>
        <w:left w:val="none" w:sz="0" w:space="0" w:color="auto"/>
        <w:bottom w:val="none" w:sz="0" w:space="0" w:color="auto"/>
        <w:right w:val="none" w:sz="0" w:space="0" w:color="auto"/>
      </w:divBdr>
    </w:div>
    <w:div w:id="1520972623">
      <w:bodyDiv w:val="1"/>
      <w:marLeft w:val="0"/>
      <w:marRight w:val="0"/>
      <w:marTop w:val="0"/>
      <w:marBottom w:val="0"/>
      <w:divBdr>
        <w:top w:val="none" w:sz="0" w:space="0" w:color="auto"/>
        <w:left w:val="none" w:sz="0" w:space="0" w:color="auto"/>
        <w:bottom w:val="none" w:sz="0" w:space="0" w:color="auto"/>
        <w:right w:val="none" w:sz="0" w:space="0" w:color="auto"/>
      </w:divBdr>
    </w:div>
    <w:div w:id="1533573652">
      <w:bodyDiv w:val="1"/>
      <w:marLeft w:val="0"/>
      <w:marRight w:val="0"/>
      <w:marTop w:val="0"/>
      <w:marBottom w:val="0"/>
      <w:divBdr>
        <w:top w:val="none" w:sz="0" w:space="0" w:color="auto"/>
        <w:left w:val="none" w:sz="0" w:space="0" w:color="auto"/>
        <w:bottom w:val="none" w:sz="0" w:space="0" w:color="auto"/>
        <w:right w:val="none" w:sz="0" w:space="0" w:color="auto"/>
      </w:divBdr>
    </w:div>
    <w:div w:id="1536037758">
      <w:bodyDiv w:val="1"/>
      <w:marLeft w:val="0"/>
      <w:marRight w:val="0"/>
      <w:marTop w:val="0"/>
      <w:marBottom w:val="0"/>
      <w:divBdr>
        <w:top w:val="none" w:sz="0" w:space="0" w:color="auto"/>
        <w:left w:val="none" w:sz="0" w:space="0" w:color="auto"/>
        <w:bottom w:val="none" w:sz="0" w:space="0" w:color="auto"/>
        <w:right w:val="none" w:sz="0" w:space="0" w:color="auto"/>
      </w:divBdr>
      <w:divsChild>
        <w:div w:id="1365863973">
          <w:blockQuote w:val="1"/>
          <w:marLeft w:val="720"/>
          <w:marRight w:val="0"/>
          <w:marTop w:val="480"/>
          <w:marBottom w:val="0"/>
          <w:divBdr>
            <w:top w:val="none" w:sz="0" w:space="0" w:color="auto"/>
            <w:left w:val="none" w:sz="0" w:space="0" w:color="auto"/>
            <w:bottom w:val="none" w:sz="0" w:space="0" w:color="auto"/>
            <w:right w:val="none" w:sz="0" w:space="0" w:color="auto"/>
          </w:divBdr>
        </w:div>
        <w:div w:id="650255024">
          <w:blockQuote w:val="1"/>
          <w:marLeft w:val="720"/>
          <w:marRight w:val="0"/>
          <w:marTop w:val="480"/>
          <w:marBottom w:val="0"/>
          <w:divBdr>
            <w:top w:val="none" w:sz="0" w:space="0" w:color="auto"/>
            <w:left w:val="none" w:sz="0" w:space="0" w:color="auto"/>
            <w:bottom w:val="none" w:sz="0" w:space="0" w:color="auto"/>
            <w:right w:val="none" w:sz="0" w:space="0" w:color="auto"/>
          </w:divBdr>
        </w:div>
      </w:divsChild>
    </w:div>
    <w:div w:id="1538543502">
      <w:bodyDiv w:val="1"/>
      <w:marLeft w:val="0"/>
      <w:marRight w:val="0"/>
      <w:marTop w:val="0"/>
      <w:marBottom w:val="0"/>
      <w:divBdr>
        <w:top w:val="none" w:sz="0" w:space="0" w:color="auto"/>
        <w:left w:val="none" w:sz="0" w:space="0" w:color="auto"/>
        <w:bottom w:val="none" w:sz="0" w:space="0" w:color="auto"/>
        <w:right w:val="none" w:sz="0" w:space="0" w:color="auto"/>
      </w:divBdr>
    </w:div>
    <w:div w:id="1617103092">
      <w:bodyDiv w:val="1"/>
      <w:marLeft w:val="0"/>
      <w:marRight w:val="0"/>
      <w:marTop w:val="0"/>
      <w:marBottom w:val="0"/>
      <w:divBdr>
        <w:top w:val="none" w:sz="0" w:space="0" w:color="auto"/>
        <w:left w:val="none" w:sz="0" w:space="0" w:color="auto"/>
        <w:bottom w:val="none" w:sz="0" w:space="0" w:color="auto"/>
        <w:right w:val="none" w:sz="0" w:space="0" w:color="auto"/>
      </w:divBdr>
    </w:div>
    <w:div w:id="1626808901">
      <w:bodyDiv w:val="1"/>
      <w:marLeft w:val="0"/>
      <w:marRight w:val="0"/>
      <w:marTop w:val="0"/>
      <w:marBottom w:val="0"/>
      <w:divBdr>
        <w:top w:val="none" w:sz="0" w:space="0" w:color="auto"/>
        <w:left w:val="none" w:sz="0" w:space="0" w:color="auto"/>
        <w:bottom w:val="none" w:sz="0" w:space="0" w:color="auto"/>
        <w:right w:val="none" w:sz="0" w:space="0" w:color="auto"/>
      </w:divBdr>
    </w:div>
    <w:div w:id="1664578994">
      <w:bodyDiv w:val="1"/>
      <w:marLeft w:val="0"/>
      <w:marRight w:val="0"/>
      <w:marTop w:val="0"/>
      <w:marBottom w:val="0"/>
      <w:divBdr>
        <w:top w:val="none" w:sz="0" w:space="0" w:color="auto"/>
        <w:left w:val="none" w:sz="0" w:space="0" w:color="auto"/>
        <w:bottom w:val="none" w:sz="0" w:space="0" w:color="auto"/>
        <w:right w:val="none" w:sz="0" w:space="0" w:color="auto"/>
      </w:divBdr>
    </w:div>
    <w:div w:id="1665007816">
      <w:bodyDiv w:val="1"/>
      <w:marLeft w:val="0"/>
      <w:marRight w:val="0"/>
      <w:marTop w:val="0"/>
      <w:marBottom w:val="0"/>
      <w:divBdr>
        <w:top w:val="none" w:sz="0" w:space="0" w:color="auto"/>
        <w:left w:val="none" w:sz="0" w:space="0" w:color="auto"/>
        <w:bottom w:val="none" w:sz="0" w:space="0" w:color="auto"/>
        <w:right w:val="none" w:sz="0" w:space="0" w:color="auto"/>
      </w:divBdr>
    </w:div>
    <w:div w:id="1691645037">
      <w:bodyDiv w:val="1"/>
      <w:marLeft w:val="0"/>
      <w:marRight w:val="0"/>
      <w:marTop w:val="0"/>
      <w:marBottom w:val="0"/>
      <w:divBdr>
        <w:top w:val="none" w:sz="0" w:space="0" w:color="auto"/>
        <w:left w:val="none" w:sz="0" w:space="0" w:color="auto"/>
        <w:bottom w:val="none" w:sz="0" w:space="0" w:color="auto"/>
        <w:right w:val="none" w:sz="0" w:space="0" w:color="auto"/>
      </w:divBdr>
    </w:div>
    <w:div w:id="1789203326">
      <w:bodyDiv w:val="1"/>
      <w:marLeft w:val="0"/>
      <w:marRight w:val="0"/>
      <w:marTop w:val="0"/>
      <w:marBottom w:val="0"/>
      <w:divBdr>
        <w:top w:val="none" w:sz="0" w:space="0" w:color="auto"/>
        <w:left w:val="none" w:sz="0" w:space="0" w:color="auto"/>
        <w:bottom w:val="none" w:sz="0" w:space="0" w:color="auto"/>
        <w:right w:val="none" w:sz="0" w:space="0" w:color="auto"/>
      </w:divBdr>
    </w:div>
    <w:div w:id="1799640432">
      <w:bodyDiv w:val="1"/>
      <w:marLeft w:val="0"/>
      <w:marRight w:val="0"/>
      <w:marTop w:val="0"/>
      <w:marBottom w:val="0"/>
      <w:divBdr>
        <w:top w:val="none" w:sz="0" w:space="0" w:color="auto"/>
        <w:left w:val="none" w:sz="0" w:space="0" w:color="auto"/>
        <w:bottom w:val="none" w:sz="0" w:space="0" w:color="auto"/>
        <w:right w:val="none" w:sz="0" w:space="0" w:color="auto"/>
      </w:divBdr>
    </w:div>
    <w:div w:id="1868063654">
      <w:bodyDiv w:val="1"/>
      <w:marLeft w:val="0"/>
      <w:marRight w:val="0"/>
      <w:marTop w:val="0"/>
      <w:marBottom w:val="0"/>
      <w:divBdr>
        <w:top w:val="none" w:sz="0" w:space="0" w:color="auto"/>
        <w:left w:val="none" w:sz="0" w:space="0" w:color="auto"/>
        <w:bottom w:val="none" w:sz="0" w:space="0" w:color="auto"/>
        <w:right w:val="none" w:sz="0" w:space="0" w:color="auto"/>
      </w:divBdr>
    </w:div>
    <w:div w:id="1873879022">
      <w:bodyDiv w:val="1"/>
      <w:marLeft w:val="0"/>
      <w:marRight w:val="0"/>
      <w:marTop w:val="0"/>
      <w:marBottom w:val="0"/>
      <w:divBdr>
        <w:top w:val="none" w:sz="0" w:space="0" w:color="auto"/>
        <w:left w:val="none" w:sz="0" w:space="0" w:color="auto"/>
        <w:bottom w:val="none" w:sz="0" w:space="0" w:color="auto"/>
        <w:right w:val="none" w:sz="0" w:space="0" w:color="auto"/>
      </w:divBdr>
    </w:div>
    <w:div w:id="1905948675">
      <w:bodyDiv w:val="1"/>
      <w:marLeft w:val="0"/>
      <w:marRight w:val="0"/>
      <w:marTop w:val="0"/>
      <w:marBottom w:val="0"/>
      <w:divBdr>
        <w:top w:val="none" w:sz="0" w:space="0" w:color="auto"/>
        <w:left w:val="none" w:sz="0" w:space="0" w:color="auto"/>
        <w:bottom w:val="none" w:sz="0" w:space="0" w:color="auto"/>
        <w:right w:val="none" w:sz="0" w:space="0" w:color="auto"/>
      </w:divBdr>
      <w:divsChild>
        <w:div w:id="285893057">
          <w:blockQuote w:val="1"/>
          <w:marLeft w:val="720"/>
          <w:marRight w:val="0"/>
          <w:marTop w:val="480"/>
          <w:marBottom w:val="0"/>
          <w:divBdr>
            <w:top w:val="none" w:sz="0" w:space="0" w:color="auto"/>
            <w:left w:val="none" w:sz="0" w:space="0" w:color="auto"/>
            <w:bottom w:val="none" w:sz="0" w:space="0" w:color="auto"/>
            <w:right w:val="none" w:sz="0" w:space="0" w:color="auto"/>
          </w:divBdr>
        </w:div>
        <w:div w:id="847451226">
          <w:blockQuote w:val="1"/>
          <w:marLeft w:val="720"/>
          <w:marRight w:val="0"/>
          <w:marTop w:val="480"/>
          <w:marBottom w:val="0"/>
          <w:divBdr>
            <w:top w:val="none" w:sz="0" w:space="0" w:color="auto"/>
            <w:left w:val="none" w:sz="0" w:space="0" w:color="auto"/>
            <w:bottom w:val="none" w:sz="0" w:space="0" w:color="auto"/>
            <w:right w:val="none" w:sz="0" w:space="0" w:color="auto"/>
          </w:divBdr>
        </w:div>
        <w:div w:id="1215921415">
          <w:blockQuote w:val="1"/>
          <w:marLeft w:val="720"/>
          <w:marRight w:val="0"/>
          <w:marTop w:val="480"/>
          <w:marBottom w:val="0"/>
          <w:divBdr>
            <w:top w:val="none" w:sz="0" w:space="0" w:color="auto"/>
            <w:left w:val="none" w:sz="0" w:space="0" w:color="auto"/>
            <w:bottom w:val="none" w:sz="0" w:space="0" w:color="auto"/>
            <w:right w:val="none" w:sz="0" w:space="0" w:color="auto"/>
          </w:divBdr>
        </w:div>
        <w:div w:id="1290815589">
          <w:blockQuote w:val="1"/>
          <w:marLeft w:val="720"/>
          <w:marRight w:val="0"/>
          <w:marTop w:val="480"/>
          <w:marBottom w:val="0"/>
          <w:divBdr>
            <w:top w:val="none" w:sz="0" w:space="0" w:color="auto"/>
            <w:left w:val="none" w:sz="0" w:space="0" w:color="auto"/>
            <w:bottom w:val="none" w:sz="0" w:space="0" w:color="auto"/>
            <w:right w:val="none" w:sz="0" w:space="0" w:color="auto"/>
          </w:divBdr>
        </w:div>
        <w:div w:id="1461727359">
          <w:blockQuote w:val="1"/>
          <w:marLeft w:val="720"/>
          <w:marRight w:val="0"/>
          <w:marTop w:val="480"/>
          <w:marBottom w:val="0"/>
          <w:divBdr>
            <w:top w:val="none" w:sz="0" w:space="0" w:color="auto"/>
            <w:left w:val="none" w:sz="0" w:space="0" w:color="auto"/>
            <w:bottom w:val="none" w:sz="0" w:space="0" w:color="auto"/>
            <w:right w:val="none" w:sz="0" w:space="0" w:color="auto"/>
          </w:divBdr>
        </w:div>
      </w:divsChild>
    </w:div>
    <w:div w:id="1913154710">
      <w:bodyDiv w:val="1"/>
      <w:marLeft w:val="0"/>
      <w:marRight w:val="0"/>
      <w:marTop w:val="0"/>
      <w:marBottom w:val="0"/>
      <w:divBdr>
        <w:top w:val="none" w:sz="0" w:space="0" w:color="auto"/>
        <w:left w:val="none" w:sz="0" w:space="0" w:color="auto"/>
        <w:bottom w:val="none" w:sz="0" w:space="0" w:color="auto"/>
        <w:right w:val="none" w:sz="0" w:space="0" w:color="auto"/>
      </w:divBdr>
    </w:div>
    <w:div w:id="1936863171">
      <w:bodyDiv w:val="1"/>
      <w:marLeft w:val="0"/>
      <w:marRight w:val="0"/>
      <w:marTop w:val="0"/>
      <w:marBottom w:val="0"/>
      <w:divBdr>
        <w:top w:val="none" w:sz="0" w:space="0" w:color="auto"/>
        <w:left w:val="none" w:sz="0" w:space="0" w:color="auto"/>
        <w:bottom w:val="none" w:sz="0" w:space="0" w:color="auto"/>
        <w:right w:val="none" w:sz="0" w:space="0" w:color="auto"/>
      </w:divBdr>
    </w:div>
    <w:div w:id="1963731764">
      <w:bodyDiv w:val="1"/>
      <w:marLeft w:val="0"/>
      <w:marRight w:val="0"/>
      <w:marTop w:val="0"/>
      <w:marBottom w:val="0"/>
      <w:divBdr>
        <w:top w:val="none" w:sz="0" w:space="0" w:color="auto"/>
        <w:left w:val="none" w:sz="0" w:space="0" w:color="auto"/>
        <w:bottom w:val="none" w:sz="0" w:space="0" w:color="auto"/>
        <w:right w:val="none" w:sz="0" w:space="0" w:color="auto"/>
      </w:divBdr>
      <w:divsChild>
        <w:div w:id="2044088225">
          <w:marLeft w:val="0"/>
          <w:marRight w:val="0"/>
          <w:marTop w:val="0"/>
          <w:marBottom w:val="0"/>
          <w:divBdr>
            <w:top w:val="none" w:sz="0" w:space="0" w:color="auto"/>
            <w:left w:val="none" w:sz="0" w:space="0" w:color="auto"/>
            <w:bottom w:val="none" w:sz="0" w:space="0" w:color="auto"/>
            <w:right w:val="none" w:sz="0" w:space="0" w:color="auto"/>
          </w:divBdr>
          <w:divsChild>
            <w:div w:id="162475761">
              <w:marLeft w:val="0"/>
              <w:marRight w:val="0"/>
              <w:marTop w:val="0"/>
              <w:marBottom w:val="0"/>
              <w:divBdr>
                <w:top w:val="none" w:sz="0" w:space="0" w:color="auto"/>
                <w:left w:val="none" w:sz="0" w:space="0" w:color="auto"/>
                <w:bottom w:val="none" w:sz="0" w:space="0" w:color="auto"/>
                <w:right w:val="none" w:sz="0" w:space="0" w:color="auto"/>
              </w:divBdr>
            </w:div>
            <w:div w:id="291058942">
              <w:marLeft w:val="0"/>
              <w:marRight w:val="0"/>
              <w:marTop w:val="0"/>
              <w:marBottom w:val="0"/>
              <w:divBdr>
                <w:top w:val="none" w:sz="0" w:space="0" w:color="auto"/>
                <w:left w:val="none" w:sz="0" w:space="0" w:color="auto"/>
                <w:bottom w:val="none" w:sz="0" w:space="0" w:color="auto"/>
                <w:right w:val="none" w:sz="0" w:space="0" w:color="auto"/>
              </w:divBdr>
            </w:div>
            <w:div w:id="417213611">
              <w:marLeft w:val="0"/>
              <w:marRight w:val="0"/>
              <w:marTop w:val="0"/>
              <w:marBottom w:val="0"/>
              <w:divBdr>
                <w:top w:val="none" w:sz="0" w:space="0" w:color="auto"/>
                <w:left w:val="none" w:sz="0" w:space="0" w:color="auto"/>
                <w:bottom w:val="none" w:sz="0" w:space="0" w:color="auto"/>
                <w:right w:val="none" w:sz="0" w:space="0" w:color="auto"/>
              </w:divBdr>
            </w:div>
            <w:div w:id="466513640">
              <w:marLeft w:val="0"/>
              <w:marRight w:val="0"/>
              <w:marTop w:val="0"/>
              <w:marBottom w:val="0"/>
              <w:divBdr>
                <w:top w:val="none" w:sz="0" w:space="0" w:color="auto"/>
                <w:left w:val="none" w:sz="0" w:space="0" w:color="auto"/>
                <w:bottom w:val="none" w:sz="0" w:space="0" w:color="auto"/>
                <w:right w:val="none" w:sz="0" w:space="0" w:color="auto"/>
              </w:divBdr>
            </w:div>
            <w:div w:id="544492683">
              <w:marLeft w:val="0"/>
              <w:marRight w:val="0"/>
              <w:marTop w:val="0"/>
              <w:marBottom w:val="0"/>
              <w:divBdr>
                <w:top w:val="none" w:sz="0" w:space="0" w:color="auto"/>
                <w:left w:val="none" w:sz="0" w:space="0" w:color="auto"/>
                <w:bottom w:val="none" w:sz="0" w:space="0" w:color="auto"/>
                <w:right w:val="none" w:sz="0" w:space="0" w:color="auto"/>
              </w:divBdr>
            </w:div>
            <w:div w:id="857933861">
              <w:marLeft w:val="0"/>
              <w:marRight w:val="0"/>
              <w:marTop w:val="0"/>
              <w:marBottom w:val="0"/>
              <w:divBdr>
                <w:top w:val="none" w:sz="0" w:space="0" w:color="auto"/>
                <w:left w:val="none" w:sz="0" w:space="0" w:color="auto"/>
                <w:bottom w:val="none" w:sz="0" w:space="0" w:color="auto"/>
                <w:right w:val="none" w:sz="0" w:space="0" w:color="auto"/>
              </w:divBdr>
            </w:div>
            <w:div w:id="1039940140">
              <w:marLeft w:val="0"/>
              <w:marRight w:val="0"/>
              <w:marTop w:val="0"/>
              <w:marBottom w:val="0"/>
              <w:divBdr>
                <w:top w:val="none" w:sz="0" w:space="0" w:color="auto"/>
                <w:left w:val="none" w:sz="0" w:space="0" w:color="auto"/>
                <w:bottom w:val="none" w:sz="0" w:space="0" w:color="auto"/>
                <w:right w:val="none" w:sz="0" w:space="0" w:color="auto"/>
              </w:divBdr>
            </w:div>
            <w:div w:id="1221675973">
              <w:marLeft w:val="0"/>
              <w:marRight w:val="0"/>
              <w:marTop w:val="0"/>
              <w:marBottom w:val="0"/>
              <w:divBdr>
                <w:top w:val="none" w:sz="0" w:space="0" w:color="auto"/>
                <w:left w:val="none" w:sz="0" w:space="0" w:color="auto"/>
                <w:bottom w:val="none" w:sz="0" w:space="0" w:color="auto"/>
                <w:right w:val="none" w:sz="0" w:space="0" w:color="auto"/>
              </w:divBdr>
            </w:div>
            <w:div w:id="1233538960">
              <w:marLeft w:val="0"/>
              <w:marRight w:val="0"/>
              <w:marTop w:val="0"/>
              <w:marBottom w:val="0"/>
              <w:divBdr>
                <w:top w:val="none" w:sz="0" w:space="0" w:color="auto"/>
                <w:left w:val="none" w:sz="0" w:space="0" w:color="auto"/>
                <w:bottom w:val="none" w:sz="0" w:space="0" w:color="auto"/>
                <w:right w:val="none" w:sz="0" w:space="0" w:color="auto"/>
              </w:divBdr>
            </w:div>
            <w:div w:id="1470123469">
              <w:marLeft w:val="0"/>
              <w:marRight w:val="0"/>
              <w:marTop w:val="0"/>
              <w:marBottom w:val="0"/>
              <w:divBdr>
                <w:top w:val="none" w:sz="0" w:space="0" w:color="auto"/>
                <w:left w:val="none" w:sz="0" w:space="0" w:color="auto"/>
                <w:bottom w:val="none" w:sz="0" w:space="0" w:color="auto"/>
                <w:right w:val="none" w:sz="0" w:space="0" w:color="auto"/>
              </w:divBdr>
            </w:div>
            <w:div w:id="1482843922">
              <w:marLeft w:val="0"/>
              <w:marRight w:val="0"/>
              <w:marTop w:val="0"/>
              <w:marBottom w:val="0"/>
              <w:divBdr>
                <w:top w:val="none" w:sz="0" w:space="0" w:color="auto"/>
                <w:left w:val="none" w:sz="0" w:space="0" w:color="auto"/>
                <w:bottom w:val="none" w:sz="0" w:space="0" w:color="auto"/>
                <w:right w:val="none" w:sz="0" w:space="0" w:color="auto"/>
              </w:divBdr>
            </w:div>
            <w:div w:id="1593471396">
              <w:marLeft w:val="0"/>
              <w:marRight w:val="0"/>
              <w:marTop w:val="0"/>
              <w:marBottom w:val="0"/>
              <w:divBdr>
                <w:top w:val="none" w:sz="0" w:space="0" w:color="auto"/>
                <w:left w:val="none" w:sz="0" w:space="0" w:color="auto"/>
                <w:bottom w:val="none" w:sz="0" w:space="0" w:color="auto"/>
                <w:right w:val="none" w:sz="0" w:space="0" w:color="auto"/>
              </w:divBdr>
            </w:div>
            <w:div w:id="1596547952">
              <w:marLeft w:val="0"/>
              <w:marRight w:val="0"/>
              <w:marTop w:val="0"/>
              <w:marBottom w:val="0"/>
              <w:divBdr>
                <w:top w:val="none" w:sz="0" w:space="0" w:color="auto"/>
                <w:left w:val="none" w:sz="0" w:space="0" w:color="auto"/>
                <w:bottom w:val="none" w:sz="0" w:space="0" w:color="auto"/>
                <w:right w:val="none" w:sz="0" w:space="0" w:color="auto"/>
              </w:divBdr>
            </w:div>
            <w:div w:id="1823082874">
              <w:marLeft w:val="0"/>
              <w:marRight w:val="0"/>
              <w:marTop w:val="0"/>
              <w:marBottom w:val="0"/>
              <w:divBdr>
                <w:top w:val="none" w:sz="0" w:space="0" w:color="auto"/>
                <w:left w:val="none" w:sz="0" w:space="0" w:color="auto"/>
                <w:bottom w:val="none" w:sz="0" w:space="0" w:color="auto"/>
                <w:right w:val="none" w:sz="0" w:space="0" w:color="auto"/>
              </w:divBdr>
            </w:div>
            <w:div w:id="1936473907">
              <w:marLeft w:val="0"/>
              <w:marRight w:val="0"/>
              <w:marTop w:val="0"/>
              <w:marBottom w:val="0"/>
              <w:divBdr>
                <w:top w:val="none" w:sz="0" w:space="0" w:color="auto"/>
                <w:left w:val="none" w:sz="0" w:space="0" w:color="auto"/>
                <w:bottom w:val="none" w:sz="0" w:space="0" w:color="auto"/>
                <w:right w:val="none" w:sz="0" w:space="0" w:color="auto"/>
              </w:divBdr>
            </w:div>
            <w:div w:id="20910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6552">
      <w:bodyDiv w:val="1"/>
      <w:marLeft w:val="0"/>
      <w:marRight w:val="0"/>
      <w:marTop w:val="0"/>
      <w:marBottom w:val="0"/>
      <w:divBdr>
        <w:top w:val="none" w:sz="0" w:space="0" w:color="auto"/>
        <w:left w:val="none" w:sz="0" w:space="0" w:color="auto"/>
        <w:bottom w:val="none" w:sz="0" w:space="0" w:color="auto"/>
        <w:right w:val="none" w:sz="0" w:space="0" w:color="auto"/>
      </w:divBdr>
    </w:div>
    <w:div w:id="2010863520">
      <w:bodyDiv w:val="1"/>
      <w:marLeft w:val="0"/>
      <w:marRight w:val="0"/>
      <w:marTop w:val="0"/>
      <w:marBottom w:val="0"/>
      <w:divBdr>
        <w:top w:val="none" w:sz="0" w:space="0" w:color="auto"/>
        <w:left w:val="none" w:sz="0" w:space="0" w:color="auto"/>
        <w:bottom w:val="none" w:sz="0" w:space="0" w:color="auto"/>
        <w:right w:val="none" w:sz="0" w:space="0" w:color="auto"/>
      </w:divBdr>
    </w:div>
    <w:div w:id="2072464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robertorodriguesadv@outlook.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iar\Desktop\A&#231;&#227;o%20FASA.WGS\Peti&#231;&#227;o%20Inicial.%20A&#231;&#227;o%20FASA.WGS.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B1153-E51D-45D1-A796-8CED75258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Ação FASA.WGS</Template>
  <TotalTime>173</TotalTime>
  <Pages>4</Pages>
  <Words>988</Words>
  <Characters>5341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Artin</dc:creator>
  <cp:keywords/>
  <dc:description/>
  <cp:lastModifiedBy>Guilherme Artin</cp:lastModifiedBy>
  <cp:revision>12</cp:revision>
  <cp:lastPrinted>2026-03-18T11:16:00Z</cp:lastPrinted>
  <dcterms:created xsi:type="dcterms:W3CDTF">2026-03-10T19:49:00Z</dcterms:created>
  <dcterms:modified xsi:type="dcterms:W3CDTF">2026-04-13T23:08:00Z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