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Perguntas Respondidas da EDA Geral</w:t>
      </w:r>
    </w:p>
    <w:p>
      <w:pPr>
        <w:jc w:val="center"/>
      </w:pPr>
      <w:r>
        <w:rPr>
          <w:rFonts w:ascii="Aptos" w:hAnsi="Aptos"/>
          <w:b/>
          <w:color w:val="1F4E78"/>
          <w:sz w:val="32"/>
        </w:rPr>
        <w:t>Customer Analytics Hub</w:t>
      </w:r>
    </w:p>
    <w:p>
      <w:pPr>
        <w:jc w:val="center"/>
      </w:pPr>
      <w:r>
        <w:rPr>
          <w:rFonts w:ascii="Aptos" w:hAnsi="Aptos"/>
          <w:color w:val="404040"/>
          <w:sz w:val="22"/>
        </w:rPr>
        <w:t>Resultados descritivos, integridade dos dados e rastreabilidade metodológica</w:t>
      </w:r>
    </w:p>
    <w:p/>
    <w:p/>
    <w:p/>
    <w:p/>
    <w:p/>
    <w:p>
      <w:pPr>
        <w:jc w:val="center"/>
      </w:pPr>
      <w:r>
        <w:rPr>
          <w:rFonts w:ascii="Aptos" w:hAnsi="Aptos"/>
          <w:color w:val="404040"/>
          <w:sz w:val="21"/>
        </w:rPr>
        <w:t>Base analítica de 2025  |  Camada Gold  |  SQL Server 2022</w:t>
      </w:r>
    </w:p>
    <w:p>
      <w:pPr>
        <w:jc w:val="center"/>
      </w:pPr>
      <w:r>
        <w:rPr>
          <w:rFonts w:ascii="Aptos" w:hAnsi="Aptos"/>
          <w:color w:val="666666"/>
          <w:sz w:val="20"/>
        </w:rPr>
        <w:t>Versão revisada em 17 de setembro de 2026</w:t>
      </w:r>
    </w:p>
    <w:p>
      <w:r>
        <w:br w:type="page"/>
      </w:r>
    </w:p>
    <w:p>
      <w:pPr>
        <w:pStyle w:val="Heading1"/>
      </w:pPr>
      <w:r>
        <w:t>Escopo e leitura do documento</w:t>
      </w:r>
    </w:p>
    <w:p>
      <w:r>
        <w:t>Este documento consolida as respostas já apuradas na análise exploratória geral do Customer Analytics Hub. Os resultados foram organizados pela granularidade correta de cada entidade: cliente, item de pedido, pedido, entrega e cliente-mês. As respostas distinguem evidência observada, interpretação exploratória e limitações, evitando transformar associação ou valor extremo em conclusão causal.</w:t>
      </w:r>
    </w:p>
    <w:p>
      <w:r>
        <w:t>A conclusão geral das 60 perguntas é que a camada Gold está estruturalmente íntegra, as medidas financeiras conciliam entre os grãos de item e pedido e a maior parte das variáveis possui cobertura completa. As principais limitações são a ausência total do ciclo de vida informado e a cobertura parcial de medidas que dependem de histórico de compras.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2160"/>
            <w:shd w:fill="1F4E78"/>
            <w:tcMar>
              <w:top w:w="90" w:type="dxa"/>
              <w:start w:w="90" w:type="dxa"/>
              <w:bottom w:w="90" w:type="dxa"/>
              <w:end w:w="90" w:type="dxa"/>
            </w:tcMar>
            <w:vAlign w:val="center"/>
          </w:tcPr>
          <w:p>
            <w:pPr>
              <w:jc w:val="center"/>
            </w:pPr>
            <w:r>
              <w:rPr>
                <w:rFonts w:ascii="Aptos" w:hAnsi="Aptos"/>
                <w:b/>
                <w:color w:val="FFFFFF"/>
                <w:sz w:val="18"/>
              </w:rPr>
              <w:t>Elemento</w:t>
            </w:r>
          </w:p>
        </w:tc>
        <w:tc>
          <w:tcPr>
            <w:tcW w:type="dxa" w:w="7776"/>
            <w:shd w:fill="1F4E78"/>
            <w:tcMar>
              <w:top w:w="90" w:type="dxa"/>
              <w:start w:w="90" w:type="dxa"/>
              <w:bottom w:w="90" w:type="dxa"/>
              <w:end w:w="90" w:type="dxa"/>
            </w:tcMar>
            <w:vAlign w:val="center"/>
          </w:tcPr>
          <w:p>
            <w:pPr>
              <w:jc w:val="center"/>
            </w:pPr>
            <w:r>
              <w:rPr>
                <w:rFonts w:ascii="Aptos" w:hAnsi="Aptos"/>
                <w:b/>
                <w:color w:val="FFFFFF"/>
                <w:sz w:val="18"/>
              </w:rPr>
              <w:t>Definição</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8"/>
              </w:rPr>
              <w:t>Período</w:t>
            </w:r>
          </w:p>
        </w:tc>
        <w:tc>
          <w:tcPr>
            <w:tcW w:type="dxa" w:w="7776"/>
            <w:tcMar>
              <w:top w:w="90" w:type="dxa"/>
              <w:start w:w="90" w:type="dxa"/>
              <w:bottom w:w="90" w:type="dxa"/>
              <w:end w:w="90" w:type="dxa"/>
            </w:tcMar>
            <w:vAlign w:val="center"/>
          </w:tcPr>
          <w:p>
            <w:pPr>
              <w:spacing w:after="0" w:line="240" w:lineRule="auto"/>
              <w:jc w:val="center"/>
            </w:pPr>
            <w:r>
              <w:rPr>
                <w:rFonts w:ascii="Aptos" w:hAnsi="Aptos"/>
                <w:color w:val="000000"/>
                <w:sz w:val="18"/>
              </w:rPr>
              <w:t>11 de janeiro a 31 de dezembro de 2025</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Clientes</w:t>
            </w:r>
          </w:p>
        </w:tc>
        <w:tc>
          <w:tcPr>
            <w:tcW w:type="dxa" w:w="7776"/>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330 clientes distintos e compradores</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8"/>
              </w:rPr>
              <w:t>Pedidos</w:t>
            </w:r>
          </w:p>
        </w:tc>
        <w:tc>
          <w:tcPr>
            <w:tcW w:type="dxa" w:w="7776"/>
            <w:tcMar>
              <w:top w:w="90" w:type="dxa"/>
              <w:start w:w="90" w:type="dxa"/>
              <w:bottom w:w="90" w:type="dxa"/>
              <w:end w:w="90" w:type="dxa"/>
            </w:tcMar>
            <w:vAlign w:val="center"/>
          </w:tcPr>
          <w:p>
            <w:pPr>
              <w:spacing w:after="0" w:line="240" w:lineRule="auto"/>
              <w:jc w:val="center"/>
            </w:pPr>
            <w:r>
              <w:rPr>
                <w:rFonts w:ascii="Aptos" w:hAnsi="Aptos"/>
                <w:color w:val="000000"/>
                <w:sz w:val="18"/>
              </w:rPr>
              <w:t>2.789 pedidos</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Itens</w:t>
            </w:r>
          </w:p>
        </w:tc>
        <w:tc>
          <w:tcPr>
            <w:tcW w:type="dxa" w:w="7776"/>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6.495 linhas de item e 13.375 unidades</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8"/>
              </w:rPr>
              <w:t>Entregas</w:t>
            </w:r>
          </w:p>
        </w:tc>
        <w:tc>
          <w:tcPr>
            <w:tcW w:type="dxa" w:w="7776"/>
            <w:tcMar>
              <w:top w:w="90" w:type="dxa"/>
              <w:start w:w="90" w:type="dxa"/>
              <w:bottom w:w="90" w:type="dxa"/>
              <w:end w:w="90" w:type="dxa"/>
            </w:tcMar>
            <w:vAlign w:val="center"/>
          </w:tcPr>
          <w:p>
            <w:pPr>
              <w:spacing w:after="0" w:line="240" w:lineRule="auto"/>
              <w:jc w:val="center"/>
            </w:pPr>
            <w:r>
              <w:rPr>
                <w:rFonts w:ascii="Aptos" w:hAnsi="Aptos"/>
                <w:color w:val="000000"/>
                <w:sz w:val="18"/>
              </w:rPr>
              <w:t>2.789 entregas, relação esperada de uma entrega por pedido</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Produtos</w:t>
            </w:r>
          </w:p>
        </w:tc>
        <w:tc>
          <w:tcPr>
            <w:tcW w:type="dxa" w:w="7776"/>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36 cadastrados e 36 vendidos</w:t>
            </w:r>
          </w:p>
        </w:tc>
      </w:tr>
    </w:tbl>
    <w:p>
      <w:pPr>
        <w:spacing w:after="20"/>
      </w:pPr>
    </w:p>
    <w:p>
      <w:pPr>
        <w:pStyle w:val="Heading1"/>
      </w:pPr>
      <w:r>
        <w:t>Bloco 1 Estrutura volumetria e período</w:t>
      </w:r>
    </w:p>
    <w:p>
      <w:r>
        <w:t>Objetivo: dimensionar a base, confirmar o período disponível e reconhecer a arquitetura analítica que sustentará a EDA.</w:t>
      </w:r>
    </w:p>
    <w:p>
      <w:pPr>
        <w:pStyle w:val="Question"/>
        <w:keepNext/>
      </w:pPr>
      <w:r>
        <w:rPr>
          <w:rFonts w:ascii="Aptos" w:hAnsi="Aptos"/>
          <w:b/>
          <w:color w:val="000000"/>
          <w:sz w:val="24"/>
        </w:rPr>
        <w:t>1. Qual é a primeira e a última data disponível na base?</w:t>
      </w:r>
    </w:p>
    <w:p>
      <w:pPr/>
      <w:r>
        <w:t>A primeira data é 11 de janeiro de 2025 e a última é 31 de dezembro de 2025.</w:t>
      </w:r>
    </w:p>
    <w:p>
      <w:pPr>
        <w:pStyle w:val="Question"/>
        <w:keepNext/>
      </w:pPr>
      <w:r>
        <w:rPr>
          <w:rFonts w:ascii="Aptos" w:hAnsi="Aptos"/>
          <w:b/>
          <w:color w:val="000000"/>
          <w:sz w:val="24"/>
        </w:rPr>
        <w:t>2. Quantos dias estão cobertos pelo período analisado?</w:t>
      </w:r>
    </w:p>
    <w:p>
      <w:pPr/>
      <w:r>
        <w:t>O intervalo inclusivo cobre 355 dias corridos. A base não representa o ano civil completo porque não há registros entre 1 e 10 de janeiro.</w:t>
      </w:r>
    </w:p>
    <w:p>
      <w:pPr>
        <w:pStyle w:val="Question"/>
        <w:keepNext/>
      </w:pPr>
      <w:r>
        <w:rPr>
          <w:rFonts w:ascii="Aptos" w:hAnsi="Aptos"/>
          <w:b/>
          <w:color w:val="000000"/>
          <w:sz w:val="24"/>
        </w:rPr>
        <w:t>3. Quantos clientes distintos existem?</w:t>
      </w:r>
    </w:p>
    <w:p>
      <w:pPr/>
      <w:r>
        <w:t>Existem 330 clientes distintos na dimensão de clientes.</w:t>
      </w:r>
    </w:p>
    <w:p>
      <w:pPr>
        <w:pStyle w:val="Question"/>
        <w:keepNext/>
      </w:pPr>
      <w:r>
        <w:rPr>
          <w:rFonts w:ascii="Aptos" w:hAnsi="Aptos"/>
          <w:b/>
          <w:color w:val="000000"/>
          <w:sz w:val="24"/>
        </w:rPr>
        <w:t>4. Quantos clientes realizaram pelo menos uma compra?</w:t>
      </w:r>
    </w:p>
    <w:p>
      <w:pPr/>
      <w:r>
        <w:t>Os 330 clientes realizaram ao menos uma compra no período analisado.</w:t>
      </w:r>
    </w:p>
    <w:p>
      <w:pPr>
        <w:pStyle w:val="Question"/>
        <w:keepNext/>
      </w:pPr>
      <w:r>
        <w:rPr>
          <w:rFonts w:ascii="Aptos" w:hAnsi="Aptos"/>
          <w:b/>
          <w:color w:val="000000"/>
          <w:sz w:val="24"/>
        </w:rPr>
        <w:t>5. Quantos pedidos foram realizados?</w:t>
      </w:r>
    </w:p>
    <w:p>
      <w:pPr/>
      <w:r>
        <w:t>Foram realizados 2.789 pedidos distintos.</w:t>
      </w:r>
    </w:p>
    <w:p>
      <w:pPr>
        <w:pStyle w:val="Question"/>
        <w:keepNext/>
      </w:pPr>
      <w:r>
        <w:rPr>
          <w:rFonts w:ascii="Aptos" w:hAnsi="Aptos"/>
          <w:b/>
          <w:color w:val="000000"/>
          <w:sz w:val="24"/>
        </w:rPr>
        <w:t>6. Quantas linhas de itens de pedidos existem?</w:t>
      </w:r>
    </w:p>
    <w:p>
      <w:pPr/>
      <w:r>
        <w:t>Existem 6.495 linhas de itens. Cada linha representa um produto dentro de um pedido.</w:t>
      </w:r>
    </w:p>
    <w:p>
      <w:pPr>
        <w:pStyle w:val="Question"/>
        <w:keepNext/>
      </w:pPr>
      <w:r>
        <w:rPr>
          <w:rFonts w:ascii="Aptos" w:hAnsi="Aptos"/>
          <w:b/>
          <w:color w:val="000000"/>
          <w:sz w:val="24"/>
        </w:rPr>
        <w:t>7. Quantas unidades de produtos foram vendidas?</w:t>
      </w:r>
    </w:p>
    <w:p>
      <w:pPr/>
      <w:r>
        <w:t>Foram vendidas 13.375 unidades, obtidas pela soma da quantidade registrada nas linhas de item.</w:t>
      </w:r>
    </w:p>
    <w:p>
      <w:pPr>
        <w:pStyle w:val="Question"/>
        <w:keepNext/>
      </w:pPr>
      <w:r>
        <w:rPr>
          <w:rFonts w:ascii="Aptos" w:hAnsi="Aptos"/>
          <w:b/>
          <w:color w:val="000000"/>
          <w:sz w:val="24"/>
        </w:rPr>
        <w:t>8. Quantos produtos estão cadastrados e quantos foram efetivamente vendidos?</w:t>
      </w:r>
    </w:p>
    <w:p>
      <w:pPr/>
      <w:r>
        <w:t>Existem 36 produtos cadastrados e todos os 36 aparecem nas vendas do período, resultando em cobertura comercial de 100% do catálogo observado.</w:t>
      </w:r>
    </w:p>
    <w:p>
      <w:pPr>
        <w:pStyle w:val="Question"/>
        <w:keepNext/>
      </w:pPr>
      <w:r>
        <w:rPr>
          <w:rFonts w:ascii="Aptos" w:hAnsi="Aptos"/>
          <w:b/>
          <w:color w:val="000000"/>
          <w:sz w:val="24"/>
        </w:rPr>
        <w:t>9. Quantas entregas estão registradas?</w:t>
      </w:r>
    </w:p>
    <w:p>
      <w:pPr/>
      <w:r>
        <w:t>Estão registradas 2.789 entregas, quantidade igual ao total de pedidos e coerente com a relação esperada de uma entrega por pedido.</w:t>
      </w:r>
    </w:p>
    <w:p>
      <w:pPr>
        <w:pStyle w:val="Question"/>
        <w:keepNext/>
      </w:pPr>
      <w:r>
        <w:rPr>
          <w:rFonts w:ascii="Aptos" w:hAnsi="Aptos"/>
          <w:b/>
          <w:color w:val="000000"/>
          <w:sz w:val="24"/>
        </w:rPr>
        <w:t>10. Quantas linhas existem em cada uma das 14 tabelas Gold?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7776"/>
            <w:shd w:fill="1F4E78"/>
            <w:tcMar>
              <w:top w:w="90" w:type="dxa"/>
              <w:start w:w="90" w:type="dxa"/>
              <w:bottom w:w="90" w:type="dxa"/>
              <w:end w:w="90" w:type="dxa"/>
            </w:tcMar>
            <w:vAlign w:val="center"/>
          </w:tcPr>
          <w:p>
            <w:pPr>
              <w:jc w:val="center"/>
            </w:pPr>
            <w:r>
              <w:rPr>
                <w:rFonts w:ascii="Aptos" w:hAnsi="Aptos"/>
                <w:b/>
                <w:color w:val="FFFFFF"/>
                <w:sz w:val="18"/>
              </w:rPr>
              <w:t>Tabela</w:t>
            </w:r>
          </w:p>
        </w:tc>
        <w:tc>
          <w:tcPr>
            <w:tcW w:type="dxa" w:w="1872"/>
            <w:shd w:fill="1F4E78"/>
            <w:tcMar>
              <w:top w:w="90" w:type="dxa"/>
              <w:start w:w="90" w:type="dxa"/>
              <w:bottom w:w="90" w:type="dxa"/>
              <w:end w:w="90" w:type="dxa"/>
            </w:tcMar>
            <w:vAlign w:val="center"/>
          </w:tcPr>
          <w:p>
            <w:pPr>
              <w:jc w:val="center"/>
            </w:pPr>
            <w:r>
              <w:rPr>
                <w:rFonts w:ascii="Aptos" w:hAnsi="Aptos"/>
                <w:b/>
                <w:color w:val="FFFFFF"/>
                <w:sz w:val="18"/>
              </w:rPr>
              <w:t>Linhas</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gold.dim_campanha</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6</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gold.dim_canal_marketing</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9</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gold.dim_cliente</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330</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gold.dim_data</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365</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gold.dim_evento_externo</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4</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gold.dim_geografia</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15</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gold.dim_horario</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1.440</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gold.dim_pagamento</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5</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gold.dim_produto</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36</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gold.dim_transportadora</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5</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gold.fato_cliente_mes</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2.804</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gold.fato_entrega</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2.789</w:t>
            </w:r>
          </w:p>
        </w:tc>
      </w:tr>
      <w:tr>
        <w:tc>
          <w:tcPr>
            <w:tcW w:type="dxa" w:w="7776"/>
            <w:tcMar>
              <w:top w:w="90" w:type="dxa"/>
              <w:start w:w="90" w:type="dxa"/>
              <w:bottom w:w="90" w:type="dxa"/>
              <w:end w:w="90" w:type="dxa"/>
            </w:tcMar>
            <w:vAlign w:val="center"/>
          </w:tcPr>
          <w:p>
            <w:pPr>
              <w:spacing w:after="0" w:line="240" w:lineRule="auto"/>
              <w:jc w:val="left"/>
            </w:pPr>
            <w:r>
              <w:rPr>
                <w:rFonts w:ascii="Aptos" w:hAnsi="Aptos"/>
                <w:color w:val="000000"/>
                <w:sz w:val="18"/>
              </w:rPr>
              <w:t>gold.fato_item_pedido</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8"/>
              </w:rPr>
              <w:t>6.495</w:t>
            </w:r>
          </w:p>
        </w:tc>
      </w:tr>
      <w:tr>
        <w:tc>
          <w:tcPr>
            <w:tcW w:type="dxa" w:w="7776"/>
            <w:shd w:fill="EAF2F8"/>
            <w:tcMar>
              <w:top w:w="90" w:type="dxa"/>
              <w:start w:w="90" w:type="dxa"/>
              <w:bottom w:w="90" w:type="dxa"/>
              <w:end w:w="90" w:type="dxa"/>
            </w:tcMar>
            <w:vAlign w:val="center"/>
          </w:tcPr>
          <w:p>
            <w:pPr>
              <w:spacing w:after="0" w:line="240" w:lineRule="auto"/>
              <w:jc w:val="left"/>
            </w:pPr>
            <w:r>
              <w:rPr>
                <w:rFonts w:ascii="Aptos" w:hAnsi="Aptos"/>
                <w:color w:val="000000"/>
                <w:sz w:val="18"/>
              </w:rPr>
              <w:t>gold.fato_pedido</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8"/>
              </w:rPr>
              <w:t>2.789</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Arquivos 00_eda_geral_parametros_gold.sql e 01_visao_geral_integridade.sql.</w:t>
      </w:r>
    </w:p>
    <w:p>
      <w:pPr>
        <w:pStyle w:val="Heading1"/>
      </w:pPr>
      <w:r>
        <w:t>Bloco 2 Integridade granularidade e reconciliação</w:t>
      </w:r>
    </w:p>
    <w:p>
      <w:r>
        <w:t>Objetivo: confirmar que chaves, relacionamentos, granularidades e medidas permanecem coerentes antes das análises descritivas e dos cruzamentos posteriores.</w:t>
      </w:r>
    </w:p>
    <w:p>
      <w:pPr>
        <w:pStyle w:val="Question"/>
        <w:keepNext/>
      </w:pPr>
      <w:r>
        <w:rPr>
          <w:rFonts w:ascii="Aptos" w:hAnsi="Aptos"/>
          <w:b/>
          <w:color w:val="000000"/>
          <w:sz w:val="24"/>
        </w:rPr>
        <w:t>11. Cada dimensão respeita a granularidade declarada?</w:t>
      </w:r>
    </w:p>
    <w:p>
      <w:pPr/>
      <w:r>
        <w:t>Sim. As dimensões preservam uma linha por entidade de negócio e suas chaves primárias permanecem únicas.</w:t>
      </w:r>
    </w:p>
    <w:p>
      <w:pPr>
        <w:pStyle w:val="Question"/>
        <w:keepNext/>
      </w:pPr>
      <w:r>
        <w:rPr>
          <w:rFonts w:ascii="Aptos" w:hAnsi="Aptos"/>
          <w:b/>
          <w:color w:val="000000"/>
          <w:sz w:val="24"/>
        </w:rPr>
        <w:t>12. Existe mais de uma linha para a mesma chave primária?</w:t>
      </w:r>
    </w:p>
    <w:p>
      <w:pPr/>
      <w:r>
        <w:t>Não. As validações não identificaram duplicação de chaves primárias nas tabelas Gold.</w:t>
      </w:r>
    </w:p>
    <w:p>
      <w:pPr>
        <w:pStyle w:val="Question"/>
        <w:keepNext/>
      </w:pPr>
      <w:r>
        <w:rPr>
          <w:rFonts w:ascii="Aptos" w:hAnsi="Aptos"/>
          <w:b/>
          <w:color w:val="000000"/>
          <w:sz w:val="24"/>
        </w:rPr>
        <w:t>13. Existem pedidos duplicados?</w:t>
      </w:r>
    </w:p>
    <w:p>
      <w:pPr/>
      <w:r>
        <w:t>Não. Os 2.789 identificadores de pedido são únicos na fato de pedidos.</w:t>
      </w:r>
    </w:p>
    <w:p>
      <w:pPr>
        <w:pStyle w:val="Question"/>
        <w:keepNext/>
      </w:pPr>
      <w:r>
        <w:rPr>
          <w:rFonts w:ascii="Aptos" w:hAnsi="Aptos"/>
          <w:b/>
          <w:color w:val="000000"/>
          <w:sz w:val="24"/>
        </w:rPr>
        <w:t>14. Existem itens de pedidos duplicados?</w:t>
      </w:r>
    </w:p>
    <w:p>
      <w:pPr/>
      <w:r>
        <w:t>Não. A chave do item de pedido preserva a granularidade de uma linha por produto registrado dentro do pedido.</w:t>
      </w:r>
    </w:p>
    <w:p>
      <w:pPr>
        <w:pStyle w:val="Question"/>
        <w:keepNext/>
      </w:pPr>
      <w:r>
        <w:rPr>
          <w:rFonts w:ascii="Aptos" w:hAnsi="Aptos"/>
          <w:b/>
          <w:color w:val="000000"/>
          <w:sz w:val="24"/>
        </w:rPr>
        <w:t>15. Existem clientes duplicados na view analítica?</w:t>
      </w:r>
    </w:p>
    <w:p>
      <w:pPr/>
      <w:r>
        <w:t>Não. A view eda.vw_perfil_cliente_analytics contém 330 linhas e 330 clientes distintos.</w:t>
      </w:r>
    </w:p>
    <w:p>
      <w:pPr>
        <w:pStyle w:val="Question"/>
        <w:keepNext/>
      </w:pPr>
      <w:r>
        <w:rPr>
          <w:rFonts w:ascii="Aptos" w:hAnsi="Aptos"/>
          <w:b/>
          <w:color w:val="000000"/>
          <w:sz w:val="24"/>
        </w:rPr>
        <w:t>16. Existem chaves estrangeiras nulas na fato de pedidos?</w:t>
      </w:r>
    </w:p>
    <w:p>
      <w:pPr/>
      <w:r>
        <w:t>Não. As chaves de cliente, data, geografia, pagamento, campanha, canal e evento permanecem preenchidas.</w:t>
      </w:r>
    </w:p>
    <w:p>
      <w:pPr>
        <w:pStyle w:val="Question"/>
        <w:keepNext/>
      </w:pPr>
      <w:r>
        <w:rPr>
          <w:rFonts w:ascii="Aptos" w:hAnsi="Aptos"/>
          <w:b/>
          <w:color w:val="000000"/>
          <w:sz w:val="24"/>
        </w:rPr>
        <w:t>17. Existem pedidos sem cliente correspondente?</w:t>
      </w:r>
    </w:p>
    <w:p>
      <w:pPr/>
      <w:r>
        <w:t>Não. Todos os pedidos encontram correspondência válida na dimensão de clientes.</w:t>
      </w:r>
    </w:p>
    <w:p>
      <w:pPr>
        <w:pStyle w:val="Question"/>
        <w:keepNext/>
      </w:pPr>
      <w:r>
        <w:rPr>
          <w:rFonts w:ascii="Aptos" w:hAnsi="Aptos"/>
          <w:b/>
          <w:color w:val="000000"/>
          <w:sz w:val="24"/>
        </w:rPr>
        <w:t>18. Existem pedidos sem geografia, data, pagamento, campanha ou canal correspondente?</w:t>
      </w:r>
    </w:p>
    <w:p>
      <w:pPr/>
      <w:r>
        <w:t>Não. A integridade referencial foi preservada nos relacionamentos avaliados.</w:t>
      </w:r>
    </w:p>
    <w:p>
      <w:pPr>
        <w:pStyle w:val="Question"/>
        <w:keepNext/>
      </w:pPr>
      <w:r>
        <w:rPr>
          <w:rFonts w:ascii="Aptos" w:hAnsi="Aptos"/>
          <w:b/>
          <w:color w:val="000000"/>
          <w:sz w:val="24"/>
        </w:rPr>
        <w:t>19. Existem pedidos sem registro de entrega?</w:t>
      </w:r>
    </w:p>
    <w:p>
      <w:pPr/>
      <w:r>
        <w:t>Não. Todos os 2.789 pedidos possuem uma entrega correspondente.</w:t>
      </w:r>
    </w:p>
    <w:p>
      <w:pPr>
        <w:pStyle w:val="Question"/>
        <w:keepNext/>
      </w:pPr>
      <w:r>
        <w:rPr>
          <w:rFonts w:ascii="Aptos" w:hAnsi="Aptos"/>
          <w:b/>
          <w:color w:val="000000"/>
          <w:sz w:val="24"/>
        </w:rPr>
        <w:t>20. Existem pedidos com mais de uma entrega quando a relação esperada é 1 para 1?</w:t>
      </w:r>
    </w:p>
    <w:p>
      <w:pPr/>
      <w:r>
        <w:t>Não. A relação entre pedido e entrega permanece 1:1 em toda a base.</w:t>
      </w:r>
    </w:p>
    <w:p>
      <w:pPr>
        <w:pStyle w:val="Question"/>
        <w:keepNext/>
      </w:pPr>
      <w:r>
        <w:rPr>
          <w:rFonts w:ascii="Aptos" w:hAnsi="Aptos"/>
          <w:b/>
          <w:color w:val="000000"/>
          <w:sz w:val="24"/>
        </w:rPr>
        <w:t>21. A receita líquida calculada nos itens coincide com a receita dos pedidos?</w:t>
      </w:r>
    </w:p>
    <w:p>
      <w:pPr/>
      <w:r>
        <w:t>Sim. A soma de Valor_Compra no grão do item coincide com a soma de Valor_Liquido_Pedido no grão do pedido, sem diferença monetária relevante.</w:t>
      </w:r>
    </w:p>
    <w:p>
      <w:pPr>
        <w:pStyle w:val="Question"/>
        <w:keepNext/>
      </w:pPr>
      <w:r>
        <w:rPr>
          <w:rFonts w:ascii="Aptos" w:hAnsi="Aptos"/>
          <w:b/>
          <w:color w:val="000000"/>
          <w:sz w:val="24"/>
        </w:rPr>
        <w:t>22. Receita bruta desconto custo e margem também conciliam entre item e pedido?</w:t>
      </w:r>
    </w:p>
    <w:p>
      <w:r>
        <w:t>Sim. Receita bruta, desconto, receita líquida, custo dos produtos e margem bruta conciliam entre gold.fato_item_pedido e gold.fato_pedido. A soma das medidas no nível dos itens corresponde aos valores consolidados no nível dos pedidos, com diferenças iguais a zero. Isso confirma que a mudança de granularidade não provocou perda, duplicação ou alteração das medidas financeiras.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800"/>
            <w:shd w:fill="1F4E78"/>
            <w:tcMar>
              <w:top w:w="90" w:type="dxa"/>
              <w:start w:w="90" w:type="dxa"/>
              <w:bottom w:w="90" w:type="dxa"/>
              <w:end w:w="90" w:type="dxa"/>
            </w:tcMar>
            <w:vAlign w:val="center"/>
          </w:tcPr>
          <w:p>
            <w:pPr>
              <w:jc w:val="center"/>
            </w:pPr>
            <w:r>
              <w:rPr>
                <w:rFonts w:ascii="Aptos" w:hAnsi="Aptos"/>
                <w:b/>
                <w:color w:val="FFFFFF"/>
                <w:sz w:val="16"/>
              </w:rPr>
              <w:t>Medida</w:t>
            </w:r>
          </w:p>
        </w:tc>
        <w:tc>
          <w:tcPr>
            <w:tcW w:type="dxa" w:w="3312"/>
            <w:shd w:fill="1F4E78"/>
            <w:tcMar>
              <w:top w:w="90" w:type="dxa"/>
              <w:start w:w="90" w:type="dxa"/>
              <w:bottom w:w="90" w:type="dxa"/>
              <w:end w:w="90" w:type="dxa"/>
            </w:tcMar>
            <w:vAlign w:val="center"/>
          </w:tcPr>
          <w:p>
            <w:pPr>
              <w:jc w:val="center"/>
            </w:pPr>
            <w:r>
              <w:rPr>
                <w:rFonts w:ascii="Aptos" w:hAnsi="Aptos"/>
                <w:b/>
                <w:color w:val="FFFFFF"/>
                <w:sz w:val="16"/>
              </w:rPr>
              <w:t>Grão do item</w:t>
            </w:r>
          </w:p>
        </w:tc>
        <w:tc>
          <w:tcPr>
            <w:tcW w:type="dxa" w:w="3312"/>
            <w:shd w:fill="1F4E78"/>
            <w:tcMar>
              <w:top w:w="90" w:type="dxa"/>
              <w:start w:w="90" w:type="dxa"/>
              <w:bottom w:w="90" w:type="dxa"/>
              <w:end w:w="90" w:type="dxa"/>
            </w:tcMar>
            <w:vAlign w:val="center"/>
          </w:tcPr>
          <w:p>
            <w:pPr>
              <w:jc w:val="center"/>
            </w:pPr>
            <w:r>
              <w:rPr>
                <w:rFonts w:ascii="Aptos" w:hAnsi="Aptos"/>
                <w:b/>
                <w:color w:val="FFFFFF"/>
                <w:sz w:val="16"/>
              </w:rPr>
              <w:t>Grão do pedido</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Resultado</w:t>
            </w:r>
          </w:p>
        </w:tc>
      </w:tr>
      <w:tr>
        <w:tc>
          <w:tcPr>
            <w:tcW w:type="dxa" w:w="1800"/>
            <w:tcMar>
              <w:top w:w="90" w:type="dxa"/>
              <w:start w:w="90" w:type="dxa"/>
              <w:bottom w:w="90" w:type="dxa"/>
              <w:end w:w="90" w:type="dxa"/>
            </w:tcMar>
            <w:vAlign w:val="center"/>
          </w:tcPr>
          <w:p>
            <w:pPr>
              <w:spacing w:after="0" w:line="240" w:lineRule="auto"/>
              <w:jc w:val="left"/>
            </w:pPr>
            <w:r>
              <w:rPr>
                <w:rFonts w:ascii="Aptos" w:hAnsi="Aptos"/>
                <w:color w:val="000000"/>
                <w:sz w:val="16"/>
              </w:rPr>
              <w:t>Receita bruta</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Valor_Bruto_Item</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Valor_Bruto_Pedido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Conciliado</w:t>
            </w:r>
          </w:p>
        </w:tc>
      </w:tr>
      <w:tr>
        <w:tc>
          <w:tcPr>
            <w:tcW w:type="dxa" w:w="180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Desconto</w:t>
            </w:r>
          </w:p>
        </w:tc>
        <w:tc>
          <w:tcPr>
            <w:tcW w:type="dxa" w:w="33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Soma de Valor_Desconto_Item</w:t>
            </w:r>
          </w:p>
        </w:tc>
        <w:tc>
          <w:tcPr>
            <w:tcW w:type="dxa" w:w="33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Soma de Valor_Desconto_Pedido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Conciliado</w:t>
            </w:r>
          </w:p>
        </w:tc>
      </w:tr>
      <w:tr>
        <w:tc>
          <w:tcPr>
            <w:tcW w:type="dxa" w:w="1800"/>
            <w:tcMar>
              <w:top w:w="90" w:type="dxa"/>
              <w:start w:w="90" w:type="dxa"/>
              <w:bottom w:w="90" w:type="dxa"/>
              <w:end w:w="90" w:type="dxa"/>
            </w:tcMar>
            <w:vAlign w:val="center"/>
          </w:tcPr>
          <w:p>
            <w:pPr>
              <w:spacing w:after="0" w:line="240" w:lineRule="auto"/>
              <w:jc w:val="left"/>
            </w:pPr>
            <w:r>
              <w:rPr>
                <w:rFonts w:ascii="Aptos" w:hAnsi="Aptos"/>
                <w:color w:val="000000"/>
                <w:sz w:val="16"/>
              </w:rPr>
              <w:t>Receita líquida</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Valor_Compra</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Valor_Liquido_Pedido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Conciliado</w:t>
            </w:r>
          </w:p>
        </w:tc>
      </w:tr>
      <w:tr>
        <w:tc>
          <w:tcPr>
            <w:tcW w:type="dxa" w:w="180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Custo</w:t>
            </w:r>
          </w:p>
        </w:tc>
        <w:tc>
          <w:tcPr>
            <w:tcW w:type="dxa" w:w="33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Soma de Custo_Total_Item</w:t>
            </w:r>
          </w:p>
        </w:tc>
        <w:tc>
          <w:tcPr>
            <w:tcW w:type="dxa" w:w="33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Soma de Custo_Total_Pedido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Conciliado</w:t>
            </w:r>
          </w:p>
        </w:tc>
      </w:tr>
      <w:tr>
        <w:tc>
          <w:tcPr>
            <w:tcW w:type="dxa" w:w="1800"/>
            <w:tcMar>
              <w:top w:w="90" w:type="dxa"/>
              <w:start w:w="90" w:type="dxa"/>
              <w:bottom w:w="90" w:type="dxa"/>
              <w:end w:w="90" w:type="dxa"/>
            </w:tcMar>
            <w:vAlign w:val="center"/>
          </w:tcPr>
          <w:p>
            <w:pPr>
              <w:spacing w:after="0" w:line="240" w:lineRule="auto"/>
              <w:jc w:val="left"/>
            </w:pPr>
            <w:r>
              <w:rPr>
                <w:rFonts w:ascii="Aptos" w:hAnsi="Aptos"/>
                <w:color w:val="000000"/>
                <w:sz w:val="16"/>
              </w:rPr>
              <w:t>Margem bruta</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Margem_Bruta_Item</w:t>
            </w:r>
          </w:p>
        </w:tc>
        <w:tc>
          <w:tcPr>
            <w:tcW w:type="dxa" w:w="3312"/>
            <w:tcMar>
              <w:top w:w="90" w:type="dxa"/>
              <w:start w:w="90" w:type="dxa"/>
              <w:bottom w:w="90" w:type="dxa"/>
              <w:end w:w="90" w:type="dxa"/>
            </w:tcMar>
            <w:vAlign w:val="center"/>
          </w:tcPr>
          <w:p>
            <w:pPr>
              <w:spacing w:after="0" w:line="240" w:lineRule="auto"/>
              <w:jc w:val="center"/>
            </w:pPr>
            <w:r>
              <w:rPr>
                <w:rFonts w:ascii="Aptos" w:hAnsi="Aptos"/>
                <w:color w:val="000000"/>
                <w:sz w:val="16"/>
              </w:rPr>
              <w:t>Soma de Margem_Bruta_Pedido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Conciliado</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Arquivos 01_visao_geral_integridade.sql, 05_create_vw_perfil_cliente_analytics.sql, 06_validacao_preparacao_dataset_cliente.sql e bloco final de 08_eda_financeira.sql.</w:t>
      </w:r>
    </w:p>
    <w:p>
      <w:pPr>
        <w:pStyle w:val="Heading1"/>
      </w:pPr>
      <w:r>
        <w:t>Bloco 3 Cobertura disponibilidade e limitações</w:t>
      </w:r>
    </w:p>
    <w:p>
      <w:r>
        <w:t>Objetivo: distinguir ausência técnica, indisponibilidade decorrente da regra de cálculo e valores legítimos iguais a zero.</w:t>
      </w:r>
    </w:p>
    <w:p>
      <w:pPr>
        <w:pStyle w:val="Question"/>
        <w:keepNext/>
      </w:pPr>
      <w:r>
        <w:rPr>
          <w:rFonts w:ascii="Aptos" w:hAnsi="Aptos"/>
          <w:b/>
          <w:color w:val="000000"/>
          <w:sz w:val="24"/>
        </w:rPr>
        <w:t>23. Quais variáveis possuem valores nulos?</w:t>
      </w:r>
    </w:p>
    <w:p>
      <w:r>
        <w:t>Foram identificados nulos em três variáveis quantitativas principais. Ciclo_Vida_Informado está totalmente indisponível. Intervalo_Medio_Calculado e Ticket_Medio_Calculado apresentam nulos por dependerem de histórico ou de ocorrência de compra na posição cliente-mês. Essas ausências foram preservadas, sem imputação artificial.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80"/>
        <w:gridCol w:w="1680"/>
        <w:gridCol w:w="1680"/>
        <w:gridCol w:w="1680"/>
        <w:gridCol w:w="1680"/>
        <w:gridCol w:w="1680"/>
      </w:tblGrid>
      <w:tr>
        <w:trPr>
          <w:tblHeader w:val="true"/>
        </w:trPr>
        <w:tc>
          <w:tcPr>
            <w:tcW w:type="dxa" w:w="1440"/>
            <w:shd w:fill="1F4E78"/>
            <w:tcMar>
              <w:top w:w="90" w:type="dxa"/>
              <w:start w:w="90" w:type="dxa"/>
              <w:bottom w:w="90" w:type="dxa"/>
              <w:end w:w="90" w:type="dxa"/>
            </w:tcMar>
            <w:vAlign w:val="center"/>
          </w:tcPr>
          <w:p>
            <w:pPr>
              <w:jc w:val="center"/>
            </w:pPr>
            <w:r>
              <w:rPr>
                <w:rFonts w:ascii="Aptos" w:hAnsi="Aptos"/>
                <w:b/>
                <w:color w:val="FFFFFF"/>
                <w:sz w:val="17"/>
              </w:rPr>
              <w:t>Unidade</w:t>
            </w:r>
          </w:p>
        </w:tc>
        <w:tc>
          <w:tcPr>
            <w:tcW w:type="dxa" w:w="3456"/>
            <w:shd w:fill="1F4E78"/>
            <w:tcMar>
              <w:top w:w="90" w:type="dxa"/>
              <w:start w:w="90" w:type="dxa"/>
              <w:bottom w:w="90" w:type="dxa"/>
              <w:end w:w="90" w:type="dxa"/>
            </w:tcMar>
            <w:vAlign w:val="center"/>
          </w:tcPr>
          <w:p>
            <w:pPr>
              <w:jc w:val="center"/>
            </w:pPr>
            <w:r>
              <w:rPr>
                <w:rFonts w:ascii="Aptos" w:hAnsi="Aptos"/>
                <w:b/>
                <w:color w:val="FFFFFF"/>
                <w:sz w:val="17"/>
              </w:rPr>
              <w:t>Variável</w:t>
            </w:r>
          </w:p>
        </w:tc>
        <w:tc>
          <w:tcPr>
            <w:tcW w:type="dxa" w:w="1152"/>
            <w:shd w:fill="1F4E78"/>
            <w:tcMar>
              <w:top w:w="90" w:type="dxa"/>
              <w:start w:w="90" w:type="dxa"/>
              <w:bottom w:w="90" w:type="dxa"/>
              <w:end w:w="90" w:type="dxa"/>
            </w:tcMar>
            <w:vAlign w:val="center"/>
          </w:tcPr>
          <w:p>
            <w:pPr>
              <w:jc w:val="center"/>
            </w:pPr>
            <w:r>
              <w:rPr>
                <w:rFonts w:ascii="Aptos" w:hAnsi="Aptos"/>
                <w:b/>
                <w:color w:val="FFFFFF"/>
                <w:sz w:val="17"/>
              </w:rPr>
              <w:t>Total</w:t>
            </w:r>
          </w:p>
        </w:tc>
        <w:tc>
          <w:tcPr>
            <w:tcW w:type="dxa" w:w="1152"/>
            <w:shd w:fill="1F4E78"/>
            <w:tcMar>
              <w:top w:w="90" w:type="dxa"/>
              <w:start w:w="90" w:type="dxa"/>
              <w:bottom w:w="90" w:type="dxa"/>
              <w:end w:w="90" w:type="dxa"/>
            </w:tcMar>
            <w:vAlign w:val="center"/>
          </w:tcPr>
          <w:p>
            <w:pPr>
              <w:jc w:val="center"/>
            </w:pPr>
            <w:r>
              <w:rPr>
                <w:rFonts w:ascii="Aptos" w:hAnsi="Aptos"/>
                <w:b/>
                <w:color w:val="FFFFFF"/>
                <w:sz w:val="17"/>
              </w:rPr>
              <w:t>Válidos</w:t>
            </w:r>
          </w:p>
        </w:tc>
        <w:tc>
          <w:tcPr>
            <w:tcW w:type="dxa" w:w="1152"/>
            <w:shd w:fill="1F4E78"/>
            <w:tcMar>
              <w:top w:w="90" w:type="dxa"/>
              <w:start w:w="90" w:type="dxa"/>
              <w:bottom w:w="90" w:type="dxa"/>
              <w:end w:w="90" w:type="dxa"/>
            </w:tcMar>
            <w:vAlign w:val="center"/>
          </w:tcPr>
          <w:p>
            <w:pPr>
              <w:jc w:val="center"/>
            </w:pPr>
            <w:r>
              <w:rPr>
                <w:rFonts w:ascii="Aptos" w:hAnsi="Aptos"/>
                <w:b/>
                <w:color w:val="FFFFFF"/>
                <w:sz w:val="17"/>
              </w:rPr>
              <w:t>Nulos</w:t>
            </w:r>
          </w:p>
        </w:tc>
        <w:tc>
          <w:tcPr>
            <w:tcW w:type="dxa" w:w="1296"/>
            <w:shd w:fill="1F4E78"/>
            <w:tcMar>
              <w:top w:w="90" w:type="dxa"/>
              <w:start w:w="90" w:type="dxa"/>
              <w:bottom w:w="90" w:type="dxa"/>
              <w:end w:w="90" w:type="dxa"/>
            </w:tcMar>
            <w:vAlign w:val="center"/>
          </w:tcPr>
          <w:p>
            <w:pPr>
              <w:jc w:val="center"/>
            </w:pPr>
            <w:r>
              <w:rPr>
                <w:rFonts w:ascii="Aptos" w:hAnsi="Aptos"/>
                <w:b/>
                <w:color w:val="FFFFFF"/>
                <w:sz w:val="17"/>
              </w:rPr>
              <w:t>Nulos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7"/>
              </w:rPr>
              <w:t>Ciclo_Vida_Informado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330</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0</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330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7"/>
              </w:rPr>
              <w:t>100,00%</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456"/>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Intervalo_Medio_Calculado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2.804</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2.137</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667</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23,79%</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7"/>
              </w:rPr>
              <w:t>Ticket_Medio_Calculado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2.804</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1.601</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7"/>
              </w:rPr>
              <w:t>1.203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7"/>
              </w:rPr>
              <w:t>42,90%</w:t>
            </w:r>
          </w:p>
        </w:tc>
      </w:tr>
    </w:tbl>
    <w:p>
      <w:pPr>
        <w:spacing w:after="20"/>
      </w:pPr>
    </w:p>
    <w:p>
      <w:pPr>
        <w:pStyle w:val="Question"/>
        <w:keepNext/>
      </w:pPr>
      <w:r>
        <w:rPr>
          <w:rFonts w:ascii="Aptos" w:hAnsi="Aptos"/>
          <w:b/>
          <w:color w:val="000000"/>
          <w:sz w:val="24"/>
        </w:rPr>
        <w:t>24. Qual é o percentual de cobertura de cada variável?</w:t>
      </w:r>
    </w:p>
    <w:p>
      <w:r>
        <w:t>Cobertura é a proporção de valores válidos em relação ao total esperado na granularidade correta. Variáveis de cliente foram avaliadas sobre 330 clientes; pedidos e entregas, sobre 2.789 registros; itens, sobre 6.495 linhas; e cliente-mês, sobre 2.804 posições. Zero foi tratado como valor preenchido quando possui significado válido.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168"/>
            <w:shd w:fill="1F4E78"/>
            <w:tcMar>
              <w:top w:w="90" w:type="dxa"/>
              <w:start w:w="90" w:type="dxa"/>
              <w:bottom w:w="90" w:type="dxa"/>
              <w:end w:w="90" w:type="dxa"/>
            </w:tcMar>
            <w:vAlign w:val="center"/>
          </w:tcPr>
          <w:p>
            <w:pPr>
              <w:jc w:val="center"/>
            </w:pPr>
            <w:r>
              <w:rPr>
                <w:rFonts w:ascii="Aptos" w:hAnsi="Aptos"/>
                <w:b/>
                <w:color w:val="FFFFFF"/>
                <w:sz w:val="17"/>
              </w:rPr>
              <w:t>Grupo</w:t>
            </w:r>
          </w:p>
        </w:tc>
        <w:tc>
          <w:tcPr>
            <w:tcW w:type="dxa" w:w="1440"/>
            <w:shd w:fill="1F4E78"/>
            <w:tcMar>
              <w:top w:w="90" w:type="dxa"/>
              <w:start w:w="90" w:type="dxa"/>
              <w:bottom w:w="90" w:type="dxa"/>
              <w:end w:w="90" w:type="dxa"/>
            </w:tcMar>
            <w:vAlign w:val="center"/>
          </w:tcPr>
          <w:p>
            <w:pPr>
              <w:jc w:val="center"/>
            </w:pPr>
            <w:r>
              <w:rPr>
                <w:rFonts w:ascii="Aptos" w:hAnsi="Aptos"/>
                <w:b/>
                <w:color w:val="FFFFFF"/>
                <w:sz w:val="17"/>
              </w:rPr>
              <w:t>Cobertura</w:t>
            </w:r>
          </w:p>
        </w:tc>
        <w:tc>
          <w:tcPr>
            <w:tcW w:type="dxa" w:w="1584"/>
            <w:shd w:fill="1F4E78"/>
            <w:tcMar>
              <w:top w:w="90" w:type="dxa"/>
              <w:start w:w="90" w:type="dxa"/>
              <w:bottom w:w="90" w:type="dxa"/>
              <w:end w:w="90" w:type="dxa"/>
            </w:tcMar>
            <w:vAlign w:val="center"/>
          </w:tcPr>
          <w:p>
            <w:pPr>
              <w:jc w:val="center"/>
            </w:pPr>
            <w:r>
              <w:rPr>
                <w:rFonts w:ascii="Aptos" w:hAnsi="Aptos"/>
                <w:b/>
                <w:color w:val="FFFFFF"/>
                <w:sz w:val="17"/>
              </w:rPr>
              <w:t>Classificação</w:t>
            </w:r>
          </w:p>
        </w:tc>
        <w:tc>
          <w:tcPr>
            <w:tcW w:type="dxa" w:w="3744"/>
            <w:shd w:fill="1F4E78"/>
            <w:tcMar>
              <w:top w:w="90" w:type="dxa"/>
              <w:start w:w="90" w:type="dxa"/>
              <w:bottom w:w="90" w:type="dxa"/>
              <w:end w:w="90" w:type="dxa"/>
            </w:tcMar>
            <w:vAlign w:val="center"/>
          </w:tcPr>
          <w:p>
            <w:pPr>
              <w:jc w:val="center"/>
            </w:pPr>
            <w:r>
              <w:rPr>
                <w:rFonts w:ascii="Aptos" w:hAnsi="Aptos"/>
                <w:b/>
                <w:color w:val="FFFFFF"/>
                <w:sz w:val="17"/>
              </w:rPr>
              <w:t>Observação</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7"/>
              </w:rPr>
              <w:t>Demais variáveis quantitativas</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7"/>
              </w:rPr>
              <w:t>100,00%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7"/>
              </w:rPr>
              <w:t>Alta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Sem nulos técnicos</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Intervalo_Medio_Calculado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76,21%</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Baixa</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Exige duas datas distintas de compra</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7"/>
              </w:rPr>
              <w:t>Ticket_Medio_Calculado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7"/>
              </w:rPr>
              <w:t>57,10%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7"/>
              </w:rPr>
              <w:t>Baixa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Indisponível em posições mensais sem compra</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Ciclo_Vida_Informado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0,00%</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Indisponível</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Campo totalmente vazio</w:t>
            </w:r>
          </w:p>
        </w:tc>
      </w:tr>
    </w:tbl>
    <w:p>
      <w:pPr>
        <w:spacing w:after="20"/>
      </w:pPr>
    </w:p>
    <w:p>
      <w:pPr>
        <w:pStyle w:val="Question"/>
        <w:keepNext/>
      </w:pPr>
      <w:r>
        <w:rPr>
          <w:rFonts w:ascii="Aptos" w:hAnsi="Aptos"/>
          <w:b/>
          <w:color w:val="000000"/>
          <w:sz w:val="24"/>
        </w:rPr>
        <w:t>25. Quais variáveis possuem cobertura alta moderada ou baixa?</w:t>
      </w:r>
    </w:p>
    <w:p>
      <w:pPr/>
      <w:r>
        <w:t>As variáveis integralmente preenchidas possuem cobertura alta. Intervalo_Medio_Calculado possui 76,21% e Ticket_Medio_Calculado 57,10%, ambas classificadas como cobertura baixa pelo critério adotado. Ciclo_Vida_Informado possui cobertura zero e foi classificada como indisponível. Não foram identificadas variáveis na faixa moderada.</w:t>
      </w:r>
    </w:p>
    <w:p>
      <w:pPr>
        <w:pStyle w:val="Question"/>
        <w:keepNext/>
      </w:pPr>
      <w:r>
        <w:rPr>
          <w:rFonts w:ascii="Aptos" w:hAnsi="Aptos"/>
          <w:b/>
          <w:color w:val="000000"/>
          <w:sz w:val="24"/>
        </w:rPr>
        <w:t>26. Existe alguma variável completamente vazia?</w:t>
      </w:r>
    </w:p>
    <w:p>
      <w:pPr/>
      <w:r>
        <w:t>Sim. Ciclo_Vida_Informado possui 330 valores nulos em 330 clientes. A variável não deve ser utilizada até que exista uma fonte confiável ou uma regra de negócio validada para calculá-la.</w:t>
      </w:r>
    </w:p>
    <w:p>
      <w:pPr>
        <w:pStyle w:val="Question"/>
        <w:keepNext/>
      </w:pPr>
      <w:r>
        <w:rPr>
          <w:rFonts w:ascii="Aptos" w:hAnsi="Aptos"/>
          <w:b/>
          <w:color w:val="000000"/>
          <w:sz w:val="24"/>
        </w:rPr>
        <w:t>27. Quantos clientes possuem informações socioeconômicas suficientes?</w:t>
      </w:r>
    </w:p>
    <w:p>
      <w:pPr/>
      <w:r>
        <w:t>Os 330 clientes possuem os atributos socioeconômicos mínimos utilizados na EDA. Isso representa 100% da dimensão de clientes, considerando as variáveis efetivamente disponíveis.</w:t>
      </w:r>
    </w:p>
    <w:p>
      <w:pPr>
        <w:pStyle w:val="Question"/>
        <w:keepNext/>
      </w:pPr>
      <w:r>
        <w:rPr>
          <w:rFonts w:ascii="Aptos" w:hAnsi="Aptos"/>
          <w:b/>
          <w:color w:val="000000"/>
          <w:sz w:val="24"/>
        </w:rPr>
        <w:t>28. Quantos clientes são elegíveis para segmentação sem imputação artificial?</w:t>
      </w:r>
    </w:p>
    <w:p>
      <w:pPr/>
      <w:r>
        <w:t>Os 330 clientes atendem aos requisitos mínimos da segmentação-base: idade, renda, ao menos uma compra, gasto, ticket e recência disponíveis. A elegibilidade não significa que toda variável opcional esteja preenchida.</w:t>
      </w:r>
    </w:p>
    <w:p>
      <w:pPr>
        <w:pStyle w:val="Question"/>
        <w:keepNext/>
      </w:pPr>
      <w:r>
        <w:rPr>
          <w:rFonts w:ascii="Aptos" w:hAnsi="Aptos"/>
          <w:b/>
          <w:color w:val="000000"/>
          <w:sz w:val="24"/>
        </w:rPr>
        <w:t>29. Quantos clientes possuem renda igual a zero?</w:t>
      </w:r>
    </w:p>
    <w:p>
      <w:pPr/>
      <w:r>
        <w:t>Quarenta e quatro clientes possuem renda mensal igual a zero, correspondendo a 13,33% dos 330 clientes. O valor foi preservado como condição válida observada, e não convertido em nulo, pois a base inclui situações profissionais em que renda zero é plausível.</w:t>
      </w:r>
    </w:p>
    <w:p>
      <w:pPr>
        <w:pStyle w:val="Question"/>
        <w:keepNext/>
      </w:pPr>
      <w:r>
        <w:rPr>
          <w:rFonts w:ascii="Aptos" w:hAnsi="Aptos"/>
          <w:b/>
          <w:color w:val="000000"/>
          <w:sz w:val="24"/>
        </w:rPr>
        <w:t>30. Quantos clientes não possuem intervalo médio de compras calculável?</w:t>
      </w:r>
    </w:p>
    <w:p>
      <w:pPr/>
      <w:r>
        <w:t>Quarenta e sete clientes não possuem intervalo médio calculável na última posição disponível. Eles não apresentam pelo menos duas datas distintas de compra. A ausência representa histórico insuficiente, não erro de qualidade; por isso, o valor permanece nulo em vez de receber zero artificial.</w:t>
      </w:r>
    </w:p>
    <w:p>
      <w:pPr>
        <w:pStyle w:val="Question"/>
        <w:keepNext/>
      </w:pPr>
      <w:r>
        <w:rPr>
          <w:rFonts w:ascii="Aptos" w:hAnsi="Aptos"/>
          <w:b/>
          <w:color w:val="000000"/>
          <w:sz w:val="24"/>
        </w:rPr>
        <w:t>31. Quantos clientes não possuem avaliação média ou categoria favorita observada?</w:t>
      </w:r>
    </w:p>
    <w:p>
      <w:pPr/>
      <w:r>
        <w:t>Nenhum cliente está sem avaliação média ou categoria favorita observada na view analítica. Todos os 330 clientes possuem as duas informações calculáveis no período. Categoria favorita representa preferência observada nas compras, não preferência declarada pelo cliente.</w:t>
      </w:r>
    </w:p>
    <w:p>
      <w:pPr>
        <w:pStyle w:val="Question"/>
        <w:keepNext/>
      </w:pPr>
      <w:r>
        <w:rPr>
          <w:rFonts w:ascii="Aptos" w:hAnsi="Aptos"/>
          <w:b/>
          <w:color w:val="000000"/>
          <w:sz w:val="24"/>
        </w:rPr>
        <w:t>32. Quais atributos de marketing e logística possuem maior ausência?</w:t>
      </w:r>
    </w:p>
    <w:p>
      <w:pPr/>
      <w:r>
        <w:t>Nenhum dos atributos avaliados apresentou ausência técnica. Canal, campanha, evento externo, status de cupom, frete, prazos, atraso, antecipação e avaliação estão preenchidos. Categorias como sem campanha ou sem cupom representam condições legítimas do pedido e não devem ser confundidas com nulos. A cobertura técnica completa não elimina limitações analíticas, como a ausência de investimento de mídia, cliques, sessões, distância, rota e custo logístico real.</w:t>
      </w:r>
    </w:p>
    <w:p>
      <w:pPr>
        <w:spacing w:before="40" w:after="160"/>
      </w:pPr>
      <w:r>
        <w:rPr>
          <w:rFonts w:ascii="Aptos" w:hAnsi="Aptos"/>
          <w:b/>
          <w:color w:val="404040"/>
          <w:sz w:val="18"/>
        </w:rPr>
        <w:t xml:space="preserve">Fonte e método: </w:t>
      </w:r>
      <w:r>
        <w:rPr>
          <w:rFonts w:ascii="Aptos" w:hAnsi="Aptos"/>
          <w:color w:val="404040"/>
          <w:sz w:val="18"/>
        </w:rPr>
        <w:t>Arquivos 02_analise_univariada.sql, 06_validacao_preparacao_dataset_cliente.sql, 09_eda_marketing.sql e 10_eda_logistica.sql.</w:t>
      </w:r>
    </w:p>
    <w:p>
      <w:pPr>
        <w:pStyle w:val="Heading1"/>
      </w:pPr>
      <w:r>
        <w:t>Bloco 4 Estatística descritiva das variáveis quantitativas</w:t>
      </w:r>
    </w:p>
    <w:p>
      <w:r>
        <w:t>Objetivo: descrever posição central, dispersão, amplitude e caudas das distribuições sem confundir valores extremos com erros de dados.</w:t>
      </w:r>
    </w:p>
    <w:p>
      <w:pPr>
        <w:pStyle w:val="Question"/>
        <w:keepNext/>
      </w:pPr>
      <w:r>
        <w:rPr>
          <w:rFonts w:ascii="Aptos" w:hAnsi="Aptos"/>
          <w:b/>
          <w:color w:val="000000"/>
          <w:sz w:val="24"/>
        </w:rPr>
        <w:t>33. Quais são média mediana e moda das variáveis quantitativas?</w:t>
      </w:r>
    </w:p>
    <w:p>
      <w:r>
        <w:t>As medidas de tendência central mostram distribuições frequentemente assimétricas. Nas variáveis monetárias, a média geralmente supera a mediana porque uma parcela menor de observações elevadas puxa o resultado para cima. A moda zero em descontos, atrasos e meses sem compra representa situações operacionais legítimas. Nessas distribuições, a mediana descreve melhor o comportamento típico do que a média isolada.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40"/>
        <w:gridCol w:w="1440"/>
        <w:gridCol w:w="1440"/>
        <w:gridCol w:w="1440"/>
        <w:gridCol w:w="1440"/>
        <w:gridCol w:w="1440"/>
        <w:gridCol w:w="1440"/>
      </w:tblGrid>
      <w:tr>
        <w:trPr>
          <w:tblHeader w:val="true"/>
        </w:trPr>
        <w:tc>
          <w:tcPr>
            <w:tcW w:type="dxa" w:w="1296"/>
            <w:shd w:fill="1F4E78"/>
            <w:tcMar>
              <w:top w:w="90" w:type="dxa"/>
              <w:start w:w="90" w:type="dxa"/>
              <w:bottom w:w="90" w:type="dxa"/>
              <w:end w:w="90" w:type="dxa"/>
            </w:tcMar>
            <w:vAlign w:val="center"/>
          </w:tcPr>
          <w:p>
            <w:pPr>
              <w:jc w:val="center"/>
            </w:pPr>
            <w:r>
              <w:rPr>
                <w:rFonts w:ascii="Aptos" w:hAnsi="Aptos"/>
                <w:b/>
                <w:color w:val="FFFFFF"/>
                <w:sz w:val="15"/>
              </w:rPr>
              <w:t>Unidade</w:t>
            </w:r>
          </w:p>
        </w:tc>
        <w:tc>
          <w:tcPr>
            <w:tcW w:type="dxa" w:w="2232"/>
            <w:shd w:fill="1F4E78"/>
            <w:tcMar>
              <w:top w:w="90" w:type="dxa"/>
              <w:start w:w="90" w:type="dxa"/>
              <w:bottom w:w="90" w:type="dxa"/>
              <w:end w:w="90" w:type="dxa"/>
            </w:tcMar>
            <w:vAlign w:val="center"/>
          </w:tcPr>
          <w:p>
            <w:pPr>
              <w:jc w:val="center"/>
            </w:pPr>
            <w:r>
              <w:rPr>
                <w:rFonts w:ascii="Aptos" w:hAnsi="Aptos"/>
                <w:b/>
                <w:color w:val="FFFFFF"/>
                <w:sz w:val="15"/>
              </w:rPr>
              <w:t>Variável</w:t>
            </w:r>
          </w:p>
        </w:tc>
        <w:tc>
          <w:tcPr>
            <w:tcW w:type="dxa" w:w="1008"/>
            <w:shd w:fill="1F4E78"/>
            <w:tcMar>
              <w:top w:w="90" w:type="dxa"/>
              <w:start w:w="90" w:type="dxa"/>
              <w:bottom w:w="90" w:type="dxa"/>
              <w:end w:w="90" w:type="dxa"/>
            </w:tcMar>
            <w:vAlign w:val="center"/>
          </w:tcPr>
          <w:p>
            <w:pPr>
              <w:jc w:val="center"/>
            </w:pPr>
            <w:r>
              <w:rPr>
                <w:rFonts w:ascii="Aptos" w:hAnsi="Aptos"/>
                <w:b/>
                <w:color w:val="FFFFFF"/>
                <w:sz w:val="15"/>
              </w:rPr>
              <w:t>Válidos</w:t>
            </w:r>
          </w:p>
        </w:tc>
        <w:tc>
          <w:tcPr>
            <w:tcW w:type="dxa" w:w="1584"/>
            <w:shd w:fill="1F4E78"/>
            <w:tcMar>
              <w:top w:w="90" w:type="dxa"/>
              <w:start w:w="90" w:type="dxa"/>
              <w:bottom w:w="90" w:type="dxa"/>
              <w:end w:w="90" w:type="dxa"/>
            </w:tcMar>
            <w:vAlign w:val="center"/>
          </w:tcPr>
          <w:p>
            <w:pPr>
              <w:jc w:val="center"/>
            </w:pPr>
            <w:r>
              <w:rPr>
                <w:rFonts w:ascii="Aptos" w:hAnsi="Aptos"/>
                <w:b/>
                <w:color w:val="FFFFFF"/>
                <w:sz w:val="15"/>
              </w:rPr>
              <w:t>Média</w:t>
            </w:r>
          </w:p>
        </w:tc>
        <w:tc>
          <w:tcPr>
            <w:tcW w:type="dxa" w:w="1440"/>
            <w:shd w:fill="1F4E78"/>
            <w:tcMar>
              <w:top w:w="90" w:type="dxa"/>
              <w:start w:w="90" w:type="dxa"/>
              <w:bottom w:w="90" w:type="dxa"/>
              <w:end w:w="90" w:type="dxa"/>
            </w:tcMar>
            <w:vAlign w:val="center"/>
          </w:tcPr>
          <w:p>
            <w:pPr>
              <w:jc w:val="center"/>
            </w:pPr>
            <w:r>
              <w:rPr>
                <w:rFonts w:ascii="Aptos" w:hAnsi="Aptos"/>
                <w:b/>
                <w:color w:val="FFFFFF"/>
                <w:sz w:val="15"/>
              </w:rPr>
              <w:t>Mediana</w:t>
            </w:r>
          </w:p>
        </w:tc>
        <w:tc>
          <w:tcPr>
            <w:tcW w:type="dxa" w:w="1296"/>
            <w:shd w:fill="1F4E78"/>
            <w:tcMar>
              <w:top w:w="90" w:type="dxa"/>
              <w:start w:w="90" w:type="dxa"/>
              <w:bottom w:w="90" w:type="dxa"/>
              <w:end w:w="90" w:type="dxa"/>
            </w:tcMar>
            <w:vAlign w:val="center"/>
          </w:tcPr>
          <w:p>
            <w:pPr>
              <w:jc w:val="center"/>
            </w:pPr>
            <w:r>
              <w:rPr>
                <w:rFonts w:ascii="Aptos" w:hAnsi="Aptos"/>
                <w:b/>
                <w:color w:val="FFFFFF"/>
                <w:sz w:val="15"/>
              </w:rPr>
              <w:t>Moda</w:t>
            </w:r>
          </w:p>
        </w:tc>
        <w:tc>
          <w:tcPr>
            <w:tcW w:type="dxa" w:w="1440"/>
            <w:shd w:fill="1F4E78"/>
            <w:tcMar>
              <w:top w:w="90" w:type="dxa"/>
              <w:start w:w="90" w:type="dxa"/>
              <w:bottom w:w="90" w:type="dxa"/>
              <w:end w:w="90" w:type="dxa"/>
            </w:tcMar>
            <w:vAlign w:val="center"/>
          </w:tcPr>
          <w:p>
            <w:pPr>
              <w:jc w:val="center"/>
            </w:pPr>
            <w:r>
              <w:rPr>
                <w:rFonts w:ascii="Aptos" w:hAnsi="Aptos"/>
                <w:b/>
                <w:color w:val="FFFFFF"/>
                <w:sz w:val="15"/>
              </w:rPr>
              <w:t>Medida</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Idade</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330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38,64</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39,00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16,00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Anos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Renda mensal</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330</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R$ 6.664,53</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R$ 4.977,49</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Tempo de experiência</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330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16,06</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15,00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0,00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Anos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Intervalo informado</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330</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39,42</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30,00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Ticket informado</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330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R$ 168,53</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R$ 144,01</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R$ 83,32</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Itens</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4,80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4,00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Unidades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Receita líquida</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R$ 103,95</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R$ 71,58</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R$ 19,24</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Desconto</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R$ 3,79</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Margem bruta</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R$ 54,23</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R$ 35,62</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R$ 6,68</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Quantidade</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6.495</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2,06</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Unidades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Preço unitário</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6.495</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R$ 22,71</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R$ 18,02</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R$ 19,47</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Frete</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R$ 25,20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R$ 22,13</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Prazo real</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4,98</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4,00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3,00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Dias de atraso</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0,53</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0,00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Avaliação</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2.789</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4,27</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4,00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4,00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Escala 1 a 5</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Receita mensal</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2.804</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R$ 103,39</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R$ 25,07</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29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2232"/>
            <w:tcMar>
              <w:top w:w="90" w:type="dxa"/>
              <w:start w:w="90" w:type="dxa"/>
              <w:bottom w:w="90" w:type="dxa"/>
              <w:end w:w="90" w:type="dxa"/>
            </w:tcMar>
            <w:vAlign w:val="center"/>
          </w:tcPr>
          <w:p>
            <w:pPr>
              <w:spacing w:after="0" w:line="240" w:lineRule="auto"/>
              <w:jc w:val="left"/>
            </w:pPr>
            <w:r>
              <w:rPr>
                <w:rFonts w:ascii="Aptos" w:hAnsi="Aptos"/>
                <w:color w:val="000000"/>
                <w:sz w:val="15"/>
              </w:rPr>
              <w:t>Recência</w:t>
            </w:r>
          </w:p>
        </w:tc>
        <w:tc>
          <w:tcPr>
            <w:tcW w:type="dxa" w:w="1008"/>
            <w:tcMar>
              <w:top w:w="90" w:type="dxa"/>
              <w:start w:w="90" w:type="dxa"/>
              <w:bottom w:w="90" w:type="dxa"/>
              <w:end w:w="90" w:type="dxa"/>
            </w:tcMar>
            <w:vAlign w:val="center"/>
          </w:tcPr>
          <w:p>
            <w:pPr>
              <w:spacing w:after="0" w:line="240" w:lineRule="auto"/>
              <w:jc w:val="center"/>
            </w:pPr>
            <w:r>
              <w:rPr>
                <w:rFonts w:ascii="Aptos" w:hAnsi="Aptos"/>
                <w:color w:val="000000"/>
                <w:sz w:val="15"/>
              </w:rPr>
              <w:t>2.804</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50,91</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23,00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5"/>
              </w:rPr>
              <w:t>0,00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29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2232"/>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Intervalo calculado</w:t>
            </w:r>
          </w:p>
        </w:tc>
        <w:tc>
          <w:tcPr>
            <w:tcW w:type="dxa" w:w="100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2.137</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30,15</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27,33</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31,00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bl>
    <w:p>
      <w:pPr>
        <w:spacing w:after="20"/>
      </w:pPr>
    </w:p>
    <w:p>
      <w:pPr>
        <w:pStyle w:val="Question"/>
        <w:keepNext/>
      </w:pPr>
      <w:r>
        <w:rPr>
          <w:rFonts w:ascii="Aptos" w:hAnsi="Aptos"/>
          <w:b/>
          <w:color w:val="000000"/>
          <w:sz w:val="24"/>
        </w:rPr>
        <w:t>34. Quais são os valores mínimo e máximo?</w:t>
      </w:r>
    </w:p>
    <w:p>
      <w:r>
        <w:t>As maiores amplitudes aparecem nas variáveis monetárias e comportamentais. A receita líquida variou de R$ 3,68 a R$ 1.347,13 por pedido, e a margem bruta permaneceu positiva, de R$ 1,36 a R$ 769,62. Na logística, o prazo real variou de 1 a 17 dias e o atraso chegou a 5 dias. Mínimos e máximos indicam limites observados; sua condição de outlier deve ser avaliada com quartis, percentis e contexto.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80"/>
        <w:gridCol w:w="1680"/>
        <w:gridCol w:w="1680"/>
        <w:gridCol w:w="1680"/>
        <w:gridCol w:w="1680"/>
        <w:gridCol w:w="1680"/>
      </w:tblGrid>
      <w:tr>
        <w:trPr>
          <w:tblHeader w:val="true"/>
        </w:trPr>
        <w:tc>
          <w:tcPr>
            <w:tcW w:type="dxa" w:w="1440"/>
            <w:shd w:fill="1F4E78"/>
            <w:tcMar>
              <w:top w:w="90" w:type="dxa"/>
              <w:start w:w="90" w:type="dxa"/>
              <w:bottom w:w="90" w:type="dxa"/>
              <w:end w:w="90" w:type="dxa"/>
            </w:tcMar>
            <w:vAlign w:val="center"/>
          </w:tcPr>
          <w:p>
            <w:pPr>
              <w:jc w:val="center"/>
            </w:pPr>
            <w:r>
              <w:rPr>
                <w:rFonts w:ascii="Aptos" w:hAnsi="Aptos"/>
                <w:b/>
                <w:color w:val="FFFFFF"/>
                <w:sz w:val="16"/>
              </w:rPr>
              <w:t>Unidade</w:t>
            </w:r>
          </w:p>
        </w:tc>
        <w:tc>
          <w:tcPr>
            <w:tcW w:type="dxa" w:w="2592"/>
            <w:shd w:fill="1F4E78"/>
            <w:tcMar>
              <w:top w:w="90" w:type="dxa"/>
              <w:start w:w="90" w:type="dxa"/>
              <w:bottom w:w="90" w:type="dxa"/>
              <w:end w:w="90" w:type="dxa"/>
            </w:tcMar>
            <w:vAlign w:val="center"/>
          </w:tcPr>
          <w:p>
            <w:pPr>
              <w:jc w:val="center"/>
            </w:pPr>
            <w:r>
              <w:rPr>
                <w:rFonts w:ascii="Aptos" w:hAnsi="Aptos"/>
                <w:b/>
                <w:color w:val="FFFFFF"/>
                <w:sz w:val="16"/>
              </w:rPr>
              <w:t>Variável</w:t>
            </w:r>
          </w:p>
        </w:tc>
        <w:tc>
          <w:tcPr>
            <w:tcW w:type="dxa" w:w="1656"/>
            <w:shd w:fill="1F4E78"/>
            <w:tcMar>
              <w:top w:w="90" w:type="dxa"/>
              <w:start w:w="90" w:type="dxa"/>
              <w:bottom w:w="90" w:type="dxa"/>
              <w:end w:w="90" w:type="dxa"/>
            </w:tcMar>
            <w:vAlign w:val="center"/>
          </w:tcPr>
          <w:p>
            <w:pPr>
              <w:jc w:val="center"/>
            </w:pPr>
            <w:r>
              <w:rPr>
                <w:rFonts w:ascii="Aptos" w:hAnsi="Aptos"/>
                <w:b/>
                <w:color w:val="FFFFFF"/>
                <w:sz w:val="16"/>
              </w:rPr>
              <w:t>Mínimo</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Máximo</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Amplitude</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Medida</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Cliente</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Idade</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16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76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60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Anos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 mensal</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R$ 34.679,07</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R$ 34.679,07</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Cliente</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Ticket informado</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R$ 22,96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R$ 641,79</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R$ 618,83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Total de itens</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21</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Unidades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Receita líquida</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R$ 3,68</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R$ 1.347,13</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R$ 1.343,45</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Desconto</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R$ 121,12</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R$ 121,12</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Margem bruta</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R$ 1,36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R$ 769,62</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R$ 768,26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Quantidade</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Unidades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Preço unitário</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R$ 4,60</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R$ 106,49</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R$ 101,89</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Frete</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R$ 79,86</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R$ 79,86</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Prazo real</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1</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17</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16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Dias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Dias de atraso</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Dias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Avaliação</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1</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5</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4</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Escala</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Receita mensal</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R$ 4.496,34</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R$ 4.496,34</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Reais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2592"/>
            <w:tcMar>
              <w:top w:w="90" w:type="dxa"/>
              <w:start w:w="90" w:type="dxa"/>
              <w:bottom w:w="90" w:type="dxa"/>
              <w:end w:w="90" w:type="dxa"/>
            </w:tcMar>
            <w:vAlign w:val="center"/>
          </w:tcPr>
          <w:p>
            <w:pPr>
              <w:spacing w:after="0" w:line="240" w:lineRule="auto"/>
              <w:jc w:val="left"/>
            </w:pPr>
            <w:r>
              <w:rPr>
                <w:rFonts w:ascii="Aptos" w:hAnsi="Aptos"/>
                <w:color w:val="000000"/>
                <w:sz w:val="16"/>
              </w:rPr>
              <w:t>Recência</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0</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316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316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Dias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259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Intervalo calculado</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339</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338</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Dias</w:t>
            </w:r>
          </w:p>
        </w:tc>
      </w:tr>
    </w:tbl>
    <w:p>
      <w:pPr>
        <w:spacing w:after="20"/>
      </w:pPr>
    </w:p>
    <w:p>
      <w:pPr>
        <w:pStyle w:val="Question"/>
        <w:keepNext/>
      </w:pPr>
      <w:r>
        <w:rPr>
          <w:rFonts w:ascii="Aptos" w:hAnsi="Aptos"/>
          <w:b/>
          <w:color w:val="000000"/>
          <w:sz w:val="24"/>
        </w:rPr>
        <w:t>35. Qual é o desvio padrão de cada variável?</w:t>
      </w:r>
    </w:p>
    <w:p>
      <w:r>
        <w:t>O desvio-padrão confirma maior dispersão absoluta nas medidas monetárias e mensais. Receita líquida por pedido apresenta desvio de R$ 108,23, enquanto a receita mensal por cliente apresenta R$ 223,39. A avaliação do cliente é mais concentrada, com desvio de 0,73 ponto. Como o desvio-padrão mantém a unidade original, a comparação entre variáveis de escalas diferentes deve utilizar também o coeficiente de variação.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584"/>
            <w:shd w:fill="1F4E78"/>
            <w:tcMar>
              <w:top w:w="90" w:type="dxa"/>
              <w:start w:w="90" w:type="dxa"/>
              <w:bottom w:w="90" w:type="dxa"/>
              <w:end w:w="90" w:type="dxa"/>
            </w:tcMar>
            <w:vAlign w:val="center"/>
          </w:tcPr>
          <w:p>
            <w:pPr>
              <w:jc w:val="center"/>
            </w:pPr>
            <w:r>
              <w:rPr>
                <w:rFonts w:ascii="Aptos" w:hAnsi="Aptos"/>
                <w:b/>
                <w:color w:val="FFFFFF"/>
                <w:sz w:val="17"/>
              </w:rPr>
              <w:t>Unidade</w:t>
            </w:r>
          </w:p>
        </w:tc>
        <w:tc>
          <w:tcPr>
            <w:tcW w:type="dxa" w:w="3744"/>
            <w:shd w:fill="1F4E78"/>
            <w:tcMar>
              <w:top w:w="90" w:type="dxa"/>
              <w:start w:w="90" w:type="dxa"/>
              <w:bottom w:w="90" w:type="dxa"/>
              <w:end w:w="90" w:type="dxa"/>
            </w:tcMar>
            <w:vAlign w:val="center"/>
          </w:tcPr>
          <w:p>
            <w:pPr>
              <w:jc w:val="center"/>
            </w:pPr>
            <w:r>
              <w:rPr>
                <w:rFonts w:ascii="Aptos" w:hAnsi="Aptos"/>
                <w:b/>
                <w:color w:val="FFFFFF"/>
                <w:sz w:val="17"/>
              </w:rPr>
              <w:t>Variável</w:t>
            </w:r>
          </w:p>
        </w:tc>
        <w:tc>
          <w:tcPr>
            <w:tcW w:type="dxa" w:w="2304"/>
            <w:shd w:fill="1F4E78"/>
            <w:tcMar>
              <w:top w:w="90" w:type="dxa"/>
              <w:start w:w="90" w:type="dxa"/>
              <w:bottom w:w="90" w:type="dxa"/>
              <w:end w:w="90" w:type="dxa"/>
            </w:tcMar>
            <w:vAlign w:val="center"/>
          </w:tcPr>
          <w:p>
            <w:pPr>
              <w:jc w:val="center"/>
            </w:pPr>
            <w:r>
              <w:rPr>
                <w:rFonts w:ascii="Aptos" w:hAnsi="Aptos"/>
                <w:b/>
                <w:color w:val="FFFFFF"/>
                <w:sz w:val="17"/>
              </w:rPr>
              <w:t>Desvio-padrão</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Medida</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Idade</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13,54</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Anos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Renda mensal</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R$ 6.193,46</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Ticket informado</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R$ 98,83</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Total de itens</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3,28</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Unidades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Receita líquida</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R$ 108,23</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Custo total</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R$ 48,82</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Margem bruta</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R$ 60,66</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Quantidade</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1,31</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Unidades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Preço unitário</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R$ 20,69</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Valor líquido</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R$ 54,57</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Frete</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R$ 19,48</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Prazo real</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3,05</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Dias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Dias de atraso</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1,03</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Dias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Avaliação</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0,73</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Pontos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Receita mensal</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R$ 223,39</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Reais</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Recência</w:t>
            </w:r>
          </w:p>
        </w:tc>
        <w:tc>
          <w:tcPr>
            <w:tcW w:type="dxa" w:w="2304"/>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61,50</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Dias</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7"/>
              </w:rPr>
              <w:t>Intervalo calculado</w:t>
            </w:r>
          </w:p>
        </w:tc>
        <w:tc>
          <w:tcPr>
            <w:tcW w:type="dxa" w:w="2304"/>
            <w:tcMar>
              <w:top w:w="90" w:type="dxa"/>
              <w:start w:w="90" w:type="dxa"/>
              <w:bottom w:w="90" w:type="dxa"/>
              <w:end w:w="90" w:type="dxa"/>
            </w:tcMar>
            <w:vAlign w:val="center"/>
          </w:tcPr>
          <w:p>
            <w:pPr>
              <w:spacing w:after="0" w:line="240" w:lineRule="auto"/>
              <w:jc w:val="center"/>
            </w:pPr>
            <w:r>
              <w:rPr>
                <w:rFonts w:ascii="Aptos" w:hAnsi="Aptos"/>
                <w:color w:val="000000"/>
                <w:sz w:val="17"/>
              </w:rPr>
              <w:t>26,24</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Dias</w:t>
            </w:r>
          </w:p>
        </w:tc>
      </w:tr>
    </w:tbl>
    <w:p>
      <w:pPr>
        <w:spacing w:after="20"/>
      </w:pPr>
    </w:p>
    <w:p>
      <w:pPr>
        <w:pStyle w:val="Question"/>
        <w:keepNext/>
      </w:pPr>
      <w:r>
        <w:rPr>
          <w:rFonts w:ascii="Aptos" w:hAnsi="Aptos"/>
          <w:b/>
          <w:color w:val="000000"/>
          <w:sz w:val="24"/>
        </w:rPr>
        <w:t>36. Qual é o coeficiente de variação?</w:t>
      </w:r>
    </w:p>
    <w:p>
      <w:r>
        <w:t>Os coeficientes de variação indicam forte heterogeneidade nas variáveis financeiras, comerciais e comportamentais. Receita líquida por pedido possui CV de 104,12% e margem bruta, 111,85%. A margem percentual é mais estável, com CV de 13,07%, e a avaliação apresenta dispersão moderada, de 17,02%. CVs muito altos em desconto, atraso e medidas mensais são ampliados pela grande frequência de zeros e por médias próximas de zero.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728"/>
            <w:shd w:fill="1F4E78"/>
            <w:tcMar>
              <w:top w:w="90" w:type="dxa"/>
              <w:start w:w="90" w:type="dxa"/>
              <w:bottom w:w="90" w:type="dxa"/>
              <w:end w:w="90" w:type="dxa"/>
            </w:tcMar>
            <w:vAlign w:val="center"/>
          </w:tcPr>
          <w:p>
            <w:pPr>
              <w:jc w:val="center"/>
            </w:pPr>
            <w:r>
              <w:rPr>
                <w:rFonts w:ascii="Aptos" w:hAnsi="Aptos"/>
                <w:b/>
                <w:color w:val="FFFFFF"/>
                <w:sz w:val="17"/>
              </w:rPr>
              <w:t>Unidade</w:t>
            </w:r>
          </w:p>
        </w:tc>
        <w:tc>
          <w:tcPr>
            <w:tcW w:type="dxa" w:w="4320"/>
            <w:shd w:fill="1F4E78"/>
            <w:tcMar>
              <w:top w:w="90" w:type="dxa"/>
              <w:start w:w="90" w:type="dxa"/>
              <w:bottom w:w="90" w:type="dxa"/>
              <w:end w:w="90" w:type="dxa"/>
            </w:tcMar>
            <w:vAlign w:val="center"/>
          </w:tcPr>
          <w:p>
            <w:pPr>
              <w:jc w:val="center"/>
            </w:pPr>
            <w:r>
              <w:rPr>
                <w:rFonts w:ascii="Aptos" w:hAnsi="Aptos"/>
                <w:b/>
                <w:color w:val="FFFFFF"/>
                <w:sz w:val="17"/>
              </w:rPr>
              <w:t>Variável</w:t>
            </w:r>
          </w:p>
        </w:tc>
        <w:tc>
          <w:tcPr>
            <w:tcW w:type="dxa" w:w="1728"/>
            <w:shd w:fill="1F4E78"/>
            <w:tcMar>
              <w:top w:w="90" w:type="dxa"/>
              <w:start w:w="90" w:type="dxa"/>
              <w:bottom w:w="90" w:type="dxa"/>
              <w:end w:w="90" w:type="dxa"/>
            </w:tcMar>
            <w:vAlign w:val="center"/>
          </w:tcPr>
          <w:p>
            <w:pPr>
              <w:jc w:val="center"/>
            </w:pPr>
            <w:r>
              <w:rPr>
                <w:rFonts w:ascii="Aptos" w:hAnsi="Aptos"/>
                <w:b/>
                <w:color w:val="FFFFFF"/>
                <w:sz w:val="17"/>
              </w:rPr>
              <w:t>CV</w:t>
            </w:r>
          </w:p>
        </w:tc>
        <w:tc>
          <w:tcPr>
            <w:tcW w:type="dxa" w:w="2160"/>
            <w:shd w:fill="1F4E78"/>
            <w:tcMar>
              <w:top w:w="90" w:type="dxa"/>
              <w:start w:w="90" w:type="dxa"/>
              <w:bottom w:w="90" w:type="dxa"/>
              <w:end w:w="90" w:type="dxa"/>
            </w:tcMar>
            <w:vAlign w:val="center"/>
          </w:tcPr>
          <w:p>
            <w:pPr>
              <w:jc w:val="center"/>
            </w:pPr>
            <w:r>
              <w:rPr>
                <w:rFonts w:ascii="Aptos" w:hAnsi="Aptos"/>
                <w:b/>
                <w:color w:val="FFFFFF"/>
                <w:sz w:val="17"/>
              </w:rPr>
              <w:t>Classificação</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Idade</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35,05%</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Renda mensal</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92,93%</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Tempo de experiência</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83,91%</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Ticket informado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58,64%</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Total de itens</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68,45%</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Receita líquida</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104,12%</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Desconto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281,27%</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Margem bruta</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111,85%</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Margem percentual</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13,07%</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Baixa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Quantidade</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63,72%</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Preço unitário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91,10%</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Item</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Valor líquido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122,25%</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Frete</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77,28%</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Prazo real</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61,22%</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Dias de atraso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192,15%</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Avaliação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17,02%</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Moderada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Receita mensal</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216,06%</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Recência</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120,79%</w:t>
            </w:r>
          </w:p>
        </w:tc>
        <w:tc>
          <w:tcPr>
            <w:tcW w:type="dxa" w:w="216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Intervalo calculado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87,04%</w:t>
            </w:r>
          </w:p>
        </w:tc>
        <w:tc>
          <w:tcPr>
            <w:tcW w:type="dxa" w:w="2160"/>
            <w:tcMar>
              <w:top w:w="90" w:type="dxa"/>
              <w:start w:w="90" w:type="dxa"/>
              <w:bottom w:w="90" w:type="dxa"/>
              <w:end w:w="90" w:type="dxa"/>
            </w:tcMar>
            <w:vAlign w:val="center"/>
          </w:tcPr>
          <w:p>
            <w:pPr>
              <w:spacing w:after="0" w:line="240" w:lineRule="auto"/>
              <w:jc w:val="center"/>
            </w:pPr>
            <w:r>
              <w:rPr>
                <w:rFonts w:ascii="Aptos" w:hAnsi="Aptos"/>
                <w:color w:val="000000"/>
                <w:sz w:val="17"/>
              </w:rPr>
              <w:t>Muito alta</w:t>
            </w:r>
          </w:p>
        </w:tc>
      </w:tr>
    </w:tbl>
    <w:p>
      <w:pPr>
        <w:spacing w:after="20"/>
      </w:pPr>
    </w:p>
    <w:p>
      <w:r>
        <w:t>Referência exploratória adotada: abaixo de 15% = baixa; de 15% a 30% = moderada; de 30% a 60% = alta; acima de 60% = muito alta. As faixas não constituem regra universal.</w:t>
      </w:r>
    </w:p>
    <w:p>
      <w:pPr>
        <w:sectPr>
          <w:footerReference w:type="default" r:id="rId9"/>
          <w:pgSz w:w="12240" w:h="15840"/>
          <w:pgMar w:top="1008" w:right="1080" w:bottom="1008" w:left="1080" w:header="720" w:footer="720" w:gutter="0"/>
          <w:cols w:space="720"/>
          <w:docGrid w:linePitch="360"/>
        </w:sectPr>
      </w:pPr>
    </w:p>
    <w:p>
      <w:pPr>
        <w:pStyle w:val="Question"/>
        <w:keepNext/>
      </w:pPr>
      <w:r>
        <w:rPr>
          <w:rFonts w:ascii="Aptos" w:hAnsi="Aptos"/>
          <w:b/>
          <w:color w:val="000000"/>
          <w:sz w:val="24"/>
        </w:rPr>
        <w:t>37. Quais são os percentis P01 P05 P10 P25 P50 P75 P90 P95 e P99?</w:t>
      </w:r>
    </w:p>
    <w:p>
      <w:r>
        <w:t>Os percentis descrevem a posição das observações na distribuição. P25, P50 e P75 correspondem ao primeiro quartil, à mediana e ao terceiro quartil. Os resultados confirmam caudas longas nas variáveis monetárias e mostram que desconto e atraso iguais a zero são frequentes. Os valores foram calculados com APPROX_PERCENTILE_CONT no SQL Server 2022.</w:t>
      </w:r>
    </w:p>
    <w:p>
      <w:pPr>
        <w:pStyle w:val="Heading2"/>
      </w:pPr>
      <w:r>
        <w:t>Clientes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6"/>
        <w:gridCol w:w="1426"/>
        <w:gridCol w:w="1426"/>
        <w:gridCol w:w="1426"/>
        <w:gridCol w:w="1426"/>
        <w:gridCol w:w="1426"/>
        <w:gridCol w:w="1426"/>
        <w:gridCol w:w="1426"/>
        <w:gridCol w:w="1426"/>
        <w:gridCol w:w="1426"/>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4"/>
              </w:rPr>
              <w:t>Variável</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P01</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P10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P25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P50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P75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P99</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Idade</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16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18</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28,25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39</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48</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70</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Renda mensal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2.075,21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4.977,49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10.367,61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15.054,72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18.951,26</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24.561,43</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Intervalo informado dias</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90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90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120</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Ticket informado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37,26</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57,59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70,20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96,33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144,01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214,84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306,19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337,69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483,19</w:t>
            </w:r>
          </w:p>
        </w:tc>
      </w:tr>
    </w:tbl>
    <w:p>
      <w:pPr>
        <w:spacing w:after="20"/>
      </w:pPr>
    </w:p>
    <w:p>
      <w:pPr>
        <w:pStyle w:val="Heading2"/>
      </w:pPr>
      <w:r>
        <w:t>Pedidos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6"/>
        <w:gridCol w:w="1426"/>
        <w:gridCol w:w="1426"/>
        <w:gridCol w:w="1426"/>
        <w:gridCol w:w="1426"/>
        <w:gridCol w:w="1426"/>
        <w:gridCol w:w="1426"/>
        <w:gridCol w:w="1426"/>
        <w:gridCol w:w="1426"/>
        <w:gridCol w:w="1426"/>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4"/>
              </w:rPr>
              <w:t>Variável</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P01</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P10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P25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P50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P75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P99</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Total de itens</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9</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15</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Receita bruta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6,01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10,55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18,10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36,05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75,74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137,23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236,95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317,68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540,55</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Desconto R$</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12,44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22,75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52,11</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Receita líquida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5,94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10,36</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17,20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34,27</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71,58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132,72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230,53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307,59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537,82</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Custo total R$</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2,53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4,97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8,07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16,72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35,61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63,90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110,50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146,24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235,47</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Margem bruta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2,76</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5,34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8,20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16,48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35,62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67,85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117,84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168,98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312,15</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Margem percentual</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29,72%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38,06%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42,37%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47,41%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52,33%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55,94%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58,17%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59,19%</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60,51%</w:t>
            </w:r>
          </w:p>
        </w:tc>
      </w:tr>
    </w:tbl>
    <w:p>
      <w:pPr>
        <w:spacing w:after="20"/>
      </w:pPr>
    </w:p>
    <w:p>
      <w:pPr>
        <w:pStyle w:val="Heading2"/>
      </w:pPr>
      <w:r>
        <w:t>Itens de pedido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6"/>
        <w:gridCol w:w="1426"/>
        <w:gridCol w:w="1426"/>
        <w:gridCol w:w="1426"/>
        <w:gridCol w:w="1426"/>
        <w:gridCol w:w="1426"/>
        <w:gridCol w:w="1426"/>
        <w:gridCol w:w="1426"/>
        <w:gridCol w:w="1426"/>
        <w:gridCol w:w="1426"/>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4"/>
              </w:rPr>
              <w:t>Variável</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P01</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P10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P25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P50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P75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P99</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Quantidade</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Preço unitário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4,71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5,21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6,15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9,90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18,02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29,60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37,45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72,00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104,70</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Valor líquido R$</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4,74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6,11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8,31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14,22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27,90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56,46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101,67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142,32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296,46</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Margem bruta R$</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2,35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3,33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4,12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7,14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13,75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26,52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50,93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70,59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176,28</w:t>
            </w:r>
          </w:p>
        </w:tc>
      </w:tr>
    </w:tbl>
    <w:p>
      <w:pPr>
        <w:spacing w:after="20"/>
      </w:pPr>
    </w:p>
    <w:p>
      <w:pPr>
        <w:pStyle w:val="Heading2"/>
      </w:pPr>
      <w:r>
        <w:t>Entregas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6"/>
        <w:gridCol w:w="1426"/>
        <w:gridCol w:w="1426"/>
        <w:gridCol w:w="1426"/>
        <w:gridCol w:w="1426"/>
        <w:gridCol w:w="1426"/>
        <w:gridCol w:w="1426"/>
        <w:gridCol w:w="1426"/>
        <w:gridCol w:w="1426"/>
        <w:gridCol w:w="1426"/>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4"/>
              </w:rPr>
              <w:t>Variável</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P01</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P10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P25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P50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P75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P99</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Frete R$</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14,33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22,13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30,57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54,10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74,26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78,19</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Prazo prometido dias</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9</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12</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Prazo real dias</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13</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Dias de atraso</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Avaliação</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5</w:t>
            </w:r>
          </w:p>
        </w:tc>
      </w:tr>
    </w:tbl>
    <w:p>
      <w:pPr>
        <w:spacing w:after="20"/>
      </w:pPr>
    </w:p>
    <w:p>
      <w:pPr>
        <w:pStyle w:val="Heading2"/>
      </w:pPr>
      <w:r>
        <w:t>Cliente mês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426"/>
        <w:gridCol w:w="1426"/>
        <w:gridCol w:w="1426"/>
        <w:gridCol w:w="1426"/>
        <w:gridCol w:w="1426"/>
        <w:gridCol w:w="1426"/>
        <w:gridCol w:w="1426"/>
        <w:gridCol w:w="1426"/>
        <w:gridCol w:w="1426"/>
        <w:gridCol w:w="1426"/>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4"/>
              </w:rPr>
              <w:t>Variável</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P01</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P05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P10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P25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P50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P75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P90</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P95</w:t>
            </w:r>
          </w:p>
        </w:tc>
        <w:tc>
          <w:tcPr>
            <w:tcW w:type="dxa" w:w="1181"/>
            <w:shd w:fill="1F4E78"/>
            <w:tcMar>
              <w:top w:w="90" w:type="dxa"/>
              <w:start w:w="90" w:type="dxa"/>
              <w:bottom w:w="90" w:type="dxa"/>
              <w:end w:w="90" w:type="dxa"/>
            </w:tcMar>
            <w:vAlign w:val="center"/>
          </w:tcPr>
          <w:p>
            <w:pPr>
              <w:jc w:val="center"/>
            </w:pPr>
            <w:r>
              <w:rPr>
                <w:rFonts w:ascii="Aptos" w:hAnsi="Aptos"/>
                <w:b/>
                <w:color w:val="FFFFFF"/>
                <w:sz w:val="14"/>
              </w:rPr>
              <w:t>P99</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Receita mensal R$</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0</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25,07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121,99</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282,86</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423,64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901,62</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Recência dias</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150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190,85</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247,85</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4"/>
              </w:rPr>
              <w:t>Frequência acumulada</w:t>
            </w:r>
          </w:p>
        </w:tc>
        <w:tc>
          <w:tcPr>
            <w:tcW w:type="dxa" w:w="1181"/>
            <w:tcMar>
              <w:top w:w="90" w:type="dxa"/>
              <w:start w:w="90" w:type="dxa"/>
              <w:bottom w:w="90" w:type="dxa"/>
              <w:end w:w="90" w:type="dxa"/>
            </w:tcMar>
            <w:vAlign w:val="center"/>
          </w:tcPr>
          <w:p>
            <w:pPr>
              <w:spacing w:after="0" w:line="240" w:lineRule="auto"/>
              <w:jc w:val="left"/>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3</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7</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14</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21</w:t>
            </w:r>
          </w:p>
        </w:tc>
        <w:tc>
          <w:tcPr>
            <w:tcW w:type="dxa" w:w="1181"/>
            <w:tcMar>
              <w:top w:w="90" w:type="dxa"/>
              <w:start w:w="90" w:type="dxa"/>
              <w:bottom w:w="90" w:type="dxa"/>
              <w:end w:w="90" w:type="dxa"/>
            </w:tcMar>
            <w:vAlign w:val="center"/>
          </w:tcPr>
          <w:p>
            <w:pPr>
              <w:spacing w:after="0" w:line="240" w:lineRule="auto"/>
              <w:jc w:val="center"/>
            </w:pPr>
            <w:r>
              <w:rPr>
                <w:rFonts w:ascii="Aptos" w:hAnsi="Aptos"/>
                <w:color w:val="000000"/>
                <w:sz w:val="14"/>
              </w:rPr>
              <w:t>46</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Intervalo calculado dias</w:t>
            </w:r>
          </w:p>
        </w:tc>
        <w:tc>
          <w:tcPr>
            <w:tcW w:type="dxa" w:w="1181"/>
            <w:shd w:fill="EAF2F8"/>
            <w:tcMar>
              <w:top w:w="90" w:type="dxa"/>
              <w:start w:w="90" w:type="dxa"/>
              <w:bottom w:w="90" w:type="dxa"/>
              <w:end w:w="90" w:type="dxa"/>
            </w:tcMar>
            <w:vAlign w:val="center"/>
          </w:tcPr>
          <w:p>
            <w:pPr>
              <w:spacing w:after="0" w:line="240" w:lineRule="auto"/>
              <w:jc w:val="left"/>
            </w:pPr>
            <w:r>
              <w:rPr>
                <w:rFonts w:ascii="Aptos" w:hAnsi="Aptos"/>
                <w:color w:val="000000"/>
                <w:sz w:val="14"/>
              </w:rPr>
              <w:t>3,73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5,57</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7,58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14</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27,33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38,83</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58</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63,10</w:t>
            </w:r>
          </w:p>
        </w:tc>
        <w:tc>
          <w:tcPr>
            <w:tcW w:type="dxa" w:w="1181"/>
            <w:shd w:fill="EAF2F8"/>
            <w:tcMar>
              <w:top w:w="90" w:type="dxa"/>
              <w:start w:w="90" w:type="dxa"/>
              <w:bottom w:w="90" w:type="dxa"/>
              <w:end w:w="90" w:type="dxa"/>
            </w:tcMar>
            <w:vAlign w:val="center"/>
          </w:tcPr>
          <w:p>
            <w:pPr>
              <w:spacing w:after="0" w:line="240" w:lineRule="auto"/>
              <w:jc w:val="center"/>
            </w:pPr>
            <w:r>
              <w:rPr>
                <w:rFonts w:ascii="Aptos" w:hAnsi="Aptos"/>
                <w:color w:val="000000"/>
                <w:sz w:val="14"/>
              </w:rPr>
              <w:t>134</w:t>
            </w:r>
          </w:p>
        </w:tc>
      </w:tr>
    </w:tbl>
    <w:p>
      <w:pPr>
        <w:spacing w:after="20"/>
      </w:pPr>
    </w:p>
    <w:p>
      <w:pPr>
        <w:sectPr>
          <w:footerReference w:type="default" r:id="rId10"/>
          <w:pgSz w:w="15840" w:h="12240" w:orient="landscape"/>
          <w:pgMar w:top="792" w:right="792" w:bottom="792" w:left="792" w:header="720" w:footer="720" w:gutter="0"/>
          <w:cols w:space="720"/>
          <w:docGrid w:linePitch="360"/>
        </w:sectPr>
      </w:pPr>
    </w:p>
    <w:p>
      <w:pPr>
        <w:pStyle w:val="Heading2"/>
      </w:pPr>
      <w:r>
        <w:t>Interpretação dos percentis</w:t>
      </w:r>
    </w:p>
    <w:p>
      <w:pPr>
        <w:pStyle w:val="ListBullet"/>
      </w:pPr>
      <w:r>
        <w:t>A receita líquida possui P50 de R$ 71,58, P90 de R$ 230,53 e P99 de R$ 537,82. A maior parte dos pedidos está concentrada em valores menores, com uma cauda de pedidos elevados.</w:t>
      </w:r>
    </w:p>
    <w:p>
      <w:pPr>
        <w:pStyle w:val="ListBullet"/>
      </w:pPr>
      <w:r>
        <w:t>O desconto permanece igual a zero até P75. Portanto, pelo menos três quartos dos pedidos não receberam desconto monetário.</w:t>
      </w:r>
    </w:p>
    <w:p>
      <w:pPr>
        <w:pStyle w:val="ListBullet"/>
      </w:pPr>
      <w:r>
        <w:t>A margem percentual varia menos que as medidas monetárias: a metade central dos pedidos está entre 47,41% e 55,94%.</w:t>
      </w:r>
    </w:p>
    <w:p>
      <w:pPr>
        <w:pStyle w:val="ListBullet"/>
      </w:pPr>
      <w:r>
        <w:t>O atraso possui P50 igual a zero, P95 igual a três dias e P99 igual a cinco dias. O atraso não é o comportamento típico, mas existe uma cauda operacional relevante.</w:t>
      </w:r>
    </w:p>
    <w:p>
      <w:pPr>
        <w:pStyle w:val="ListBullet"/>
      </w:pPr>
      <w:r>
        <w:t>A renda possui P50 de R$ 4.977,49 e P90 de R$ 15.054,72, evidenciando heterogeneidade socioeconômica.</w:t>
      </w:r>
    </w:p>
    <w:p>
      <w:pPr>
        <w:pStyle w:val="ListBullet"/>
      </w:pPr>
      <w:r>
        <w:t>A receita mensal possui P25 igual a zero porque a fato cliente-mês preserva posições sem compra; isso é contexto temporal válido, não falha de qualidade.</w:t>
      </w:r>
    </w:p>
    <w:p>
      <w:pPr>
        <w:spacing w:before="40" w:after="160"/>
      </w:pPr>
      <w:r>
        <w:rPr>
          <w:rFonts w:ascii="Aptos" w:hAnsi="Aptos"/>
          <w:b/>
          <w:color w:val="404040"/>
          <w:sz w:val="18"/>
        </w:rPr>
        <w:t xml:space="preserve">Fonte e método: </w:t>
      </w:r>
      <w:r>
        <w:rPr>
          <w:rFonts w:ascii="Aptos" w:hAnsi="Aptos"/>
          <w:color w:val="404040"/>
          <w:sz w:val="18"/>
        </w:rPr>
        <w:t>Arquivo 02_analise_univariada.sql. Percentis aproximados calculados por grupo com APPROX_PERCENTILE_CONT; pequenas diferenças podem surgir em outras ferramentas.</w:t>
      </w:r>
    </w:p>
    <w:p>
      <w:pPr>
        <w:pStyle w:val="Question"/>
        <w:keepNext/>
      </w:pPr>
      <w:r>
        <w:rPr>
          <w:rFonts w:ascii="Aptos" w:hAnsi="Aptos"/>
          <w:b/>
          <w:color w:val="000000"/>
          <w:sz w:val="24"/>
        </w:rPr>
        <w:t>38. Qual é o intervalo interquartil de cada variável?</w:t>
      </w:r>
    </w:p>
    <w:p>
      <w:r>
        <w:t>O intervalo interquartil (IQR = P75 − P25) mede a dispersão dos 50% centrais da distribuição. IQR elevado significa maior variação absoluta na unidade original; por isso, valores de variáveis com escalas diferentes não devem ser comparados diretamente. Ciclo_Vida_Informado não possui IQR calculável porque está totalmente ausente.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656"/>
            <w:shd w:fill="1F4E78"/>
            <w:tcMar>
              <w:top w:w="90" w:type="dxa"/>
              <w:start w:w="90" w:type="dxa"/>
              <w:bottom w:w="90" w:type="dxa"/>
              <w:end w:w="90" w:type="dxa"/>
            </w:tcMar>
            <w:vAlign w:val="center"/>
          </w:tcPr>
          <w:p>
            <w:pPr>
              <w:jc w:val="center"/>
            </w:pPr>
            <w:r>
              <w:rPr>
                <w:rFonts w:ascii="Aptos" w:hAnsi="Aptos"/>
                <w:b/>
                <w:color w:val="FFFFFF"/>
                <w:sz w:val="15"/>
              </w:rPr>
              <w:t>Unidade</w:t>
            </w:r>
          </w:p>
        </w:tc>
        <w:tc>
          <w:tcPr>
            <w:tcW w:type="dxa" w:w="4464"/>
            <w:shd w:fill="1F4E78"/>
            <w:tcMar>
              <w:top w:w="90" w:type="dxa"/>
              <w:start w:w="90" w:type="dxa"/>
              <w:bottom w:w="90" w:type="dxa"/>
              <w:end w:w="90" w:type="dxa"/>
            </w:tcMar>
            <w:vAlign w:val="center"/>
          </w:tcPr>
          <w:p>
            <w:pPr>
              <w:jc w:val="center"/>
            </w:pPr>
            <w:r>
              <w:rPr>
                <w:rFonts w:ascii="Aptos" w:hAnsi="Aptos"/>
                <w:b/>
                <w:color w:val="FFFFFF"/>
                <w:sz w:val="15"/>
              </w:rPr>
              <w:t>Variável</w:t>
            </w:r>
          </w:p>
        </w:tc>
        <w:tc>
          <w:tcPr>
            <w:tcW w:type="dxa" w:w="1944"/>
            <w:shd w:fill="1F4E78"/>
            <w:tcMar>
              <w:top w:w="90" w:type="dxa"/>
              <w:start w:w="90" w:type="dxa"/>
              <w:bottom w:w="90" w:type="dxa"/>
              <w:end w:w="90" w:type="dxa"/>
            </w:tcMar>
            <w:vAlign w:val="center"/>
          </w:tcPr>
          <w:p>
            <w:pPr>
              <w:jc w:val="center"/>
            </w:pPr>
            <w:r>
              <w:rPr>
                <w:rFonts w:ascii="Aptos" w:hAnsi="Aptos"/>
                <w:b/>
                <w:color w:val="FFFFFF"/>
                <w:sz w:val="15"/>
              </w:rPr>
              <w:t>IQR</w:t>
            </w:r>
          </w:p>
        </w:tc>
        <w:tc>
          <w:tcPr>
            <w:tcW w:type="dxa" w:w="1944"/>
            <w:shd w:fill="1F4E78"/>
            <w:tcMar>
              <w:top w:w="90" w:type="dxa"/>
              <w:start w:w="90" w:type="dxa"/>
              <w:bottom w:w="90" w:type="dxa"/>
              <w:end w:w="90" w:type="dxa"/>
            </w:tcMar>
            <w:vAlign w:val="center"/>
          </w:tcPr>
          <w:p>
            <w:pPr>
              <w:jc w:val="center"/>
            </w:pPr>
            <w:r>
              <w:rPr>
                <w:rFonts w:ascii="Aptos" w:hAnsi="Aptos"/>
                <w:b/>
                <w:color w:val="FFFFFF"/>
                <w:sz w:val="15"/>
              </w:rPr>
              <w:t>Medida</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Idade</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19,75</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Anos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Intervalo médio informado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Renda mensal</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R$ 8.292,40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Tempo de experiência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25,75</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Anos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Ticket médio informado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R$ 118,51</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Ciclo de vida informado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Não calculável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100% nulo</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Categorias distintas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Categorias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Custo total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R$ 59,88</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Frequência acumulada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5,00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Pedidos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Intervalo médio calculado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24,83</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Itens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7,00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Unidades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Margem bruta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R$ 60,80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Pedidos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1,00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Pedidos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 de fidelidade</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9,00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Produtos distintos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3,00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Produtos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Receita líquida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R$ 121,99</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Recência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66,00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Cliente-mês</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Ticket médio calculado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R$ 89,17</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Avaliação do cliente</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1,00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Ponto</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 de antecipação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Dias de atraso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1,00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Dia</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Diferença de prazo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Frete</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R$ 16,24</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Prazo prometido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Prazo real</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3,00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Dias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Custo total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R$ 20,24</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Custo unitário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R$ 8,90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Desconto percentual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0,00 p.p.</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 percentuais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Margem bruta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R$ 19,38</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Margem percentual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9,58 p.p.</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 percentuais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Preço unitário de lista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R$ 19,70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Quantidade</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Unidades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Valor bruto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R$ 43,13</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Valor da compra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R$ 42,24</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Item</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Valor do desconto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Custo total</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R$ 47,18</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Desconto médio ponderado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0,00 p.p.</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Pontos percentuais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Margem bruta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R$ 51,37</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Margem percentual</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8,53 p.p.</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Pontos percentuais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 de fidelidade</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Pontos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Quantidade de linhas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Linhas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Produtos distintos</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Produtos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Total de itens</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5,00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Unidades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Valor bruto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R$ 101,18</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Valor do desconto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R$ 0,00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Valor líquido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R$ 98,45</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Reais</w:t>
            </w:r>
          </w:p>
        </w:tc>
      </w:tr>
    </w:tbl>
    <w:p>
      <w:pPr>
        <w:spacing w:after="20"/>
      </w:pPr>
    </w:p>
    <w:p>
      <w:r>
        <w:t>Leitura principal: as maiores dispersões absolutas ocorrem na renda mensal (R$ 8.292,40) e, entre as medidas transacionais, na receita líquida mensal (R$ 121,99), no valor bruto do pedido (R$ 101,18) e no valor líquido do pedido (R$ 98,45). IQR igual a zero em descontos e dias de antecipação indica forte concentração em zero, e não ausência de variação em toda a distribuição.</w:t>
      </w:r>
    </w:p>
    <w:p>
      <w:pPr>
        <w:spacing w:before="40" w:after="160"/>
      </w:pPr>
      <w:r>
        <w:rPr>
          <w:rFonts w:ascii="Aptos" w:hAnsi="Aptos"/>
          <w:b/>
          <w:color w:val="404040"/>
          <w:sz w:val="18"/>
        </w:rPr>
        <w:t xml:space="preserve">Fonte e método: </w:t>
      </w:r>
      <w:r>
        <w:rPr>
          <w:rFonts w:ascii="Aptos" w:hAnsi="Aptos"/>
          <w:color w:val="404040"/>
          <w:sz w:val="18"/>
        </w:rPr>
        <w:t>Arquivo 02_analise_univariada.sql; IQR calculado como Q3_P75 menos Q1_P25, respeitando a granularidade de cada tabela Gold.</w:t>
      </w:r>
    </w:p>
    <w:p>
      <w:pPr>
        <w:pStyle w:val="Question"/>
        <w:keepNext/>
      </w:pPr>
      <w:r>
        <w:rPr>
          <w:rFonts w:ascii="Aptos" w:hAnsi="Aptos"/>
          <w:b/>
          <w:color w:val="000000"/>
          <w:sz w:val="24"/>
        </w:rPr>
        <w:t>39. Quais variáveis apresentam maior assimetria entre média e mediana?</w:t>
      </w:r>
    </w:p>
    <w:p>
      <w:r>
        <w:t>Como indicador exploratório, foi usada a diferença relativa |média − mediana| / |média|. Quanto maior o percentual, maior o afastamento entre o centro aritmético e o centro posicional. Esse indicador sinaliza assimetria, mas não substitui o coeficiente estatístico de assimetria. Todas as variáveis abaixo têm média superior à mediana, compatível com cauda à direita.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656"/>
            <w:shd w:fill="1F4E78"/>
            <w:tcMar>
              <w:top w:w="90" w:type="dxa"/>
              <w:start w:w="90" w:type="dxa"/>
              <w:bottom w:w="90" w:type="dxa"/>
              <w:end w:w="90" w:type="dxa"/>
            </w:tcMar>
            <w:vAlign w:val="center"/>
          </w:tcPr>
          <w:p>
            <w:pPr>
              <w:jc w:val="center"/>
            </w:pPr>
            <w:r>
              <w:rPr>
                <w:rFonts w:ascii="Aptos" w:hAnsi="Aptos"/>
                <w:b/>
                <w:color w:val="FFFFFF"/>
                <w:sz w:val="16"/>
              </w:rPr>
              <w:t>Unidade</w:t>
            </w:r>
          </w:p>
        </w:tc>
        <w:tc>
          <w:tcPr>
            <w:tcW w:type="dxa" w:w="3672"/>
            <w:shd w:fill="1F4E78"/>
            <w:tcMar>
              <w:top w:w="90" w:type="dxa"/>
              <w:start w:w="90" w:type="dxa"/>
              <w:bottom w:w="90" w:type="dxa"/>
              <w:end w:w="90" w:type="dxa"/>
            </w:tcMar>
            <w:vAlign w:val="center"/>
          </w:tcPr>
          <w:p>
            <w:pPr>
              <w:jc w:val="center"/>
            </w:pPr>
            <w:r>
              <w:rPr>
                <w:rFonts w:ascii="Aptos" w:hAnsi="Aptos"/>
                <w:b/>
                <w:color w:val="FFFFFF"/>
                <w:sz w:val="16"/>
              </w:rPr>
              <w:t>Variável</w:t>
            </w:r>
          </w:p>
        </w:tc>
        <w:tc>
          <w:tcPr>
            <w:tcW w:type="dxa" w:w="1512"/>
            <w:shd w:fill="1F4E78"/>
            <w:tcMar>
              <w:top w:w="90" w:type="dxa"/>
              <w:start w:w="90" w:type="dxa"/>
              <w:bottom w:w="90" w:type="dxa"/>
              <w:end w:w="90" w:type="dxa"/>
            </w:tcMar>
            <w:vAlign w:val="center"/>
          </w:tcPr>
          <w:p>
            <w:pPr>
              <w:jc w:val="center"/>
            </w:pPr>
            <w:r>
              <w:rPr>
                <w:rFonts w:ascii="Aptos" w:hAnsi="Aptos"/>
                <w:b/>
                <w:color w:val="FFFFFF"/>
                <w:sz w:val="16"/>
              </w:rPr>
              <w:t>Média</w:t>
            </w:r>
          </w:p>
        </w:tc>
        <w:tc>
          <w:tcPr>
            <w:tcW w:type="dxa" w:w="1512"/>
            <w:shd w:fill="1F4E78"/>
            <w:tcMar>
              <w:top w:w="90" w:type="dxa"/>
              <w:start w:w="90" w:type="dxa"/>
              <w:bottom w:w="90" w:type="dxa"/>
              <w:end w:w="90" w:type="dxa"/>
            </w:tcMar>
            <w:vAlign w:val="center"/>
          </w:tcPr>
          <w:p>
            <w:pPr>
              <w:jc w:val="center"/>
            </w:pPr>
            <w:r>
              <w:rPr>
                <w:rFonts w:ascii="Aptos" w:hAnsi="Aptos"/>
                <w:b/>
                <w:color w:val="FFFFFF"/>
                <w:sz w:val="16"/>
              </w:rPr>
              <w:t>Mediana</w:t>
            </w:r>
          </w:p>
        </w:tc>
        <w:tc>
          <w:tcPr>
            <w:tcW w:type="dxa" w:w="1944"/>
            <w:shd w:fill="1F4E78"/>
            <w:tcMar>
              <w:top w:w="90" w:type="dxa"/>
              <w:start w:w="90" w:type="dxa"/>
              <w:bottom w:w="90" w:type="dxa"/>
              <w:end w:w="90" w:type="dxa"/>
            </w:tcMar>
            <w:vAlign w:val="center"/>
          </w:tcPr>
          <w:p>
            <w:pPr>
              <w:jc w:val="center"/>
            </w:pPr>
            <w:r>
              <w:rPr>
                <w:rFonts w:ascii="Aptos" w:hAnsi="Aptos"/>
                <w:b/>
                <w:color w:val="FFFFFF"/>
                <w:sz w:val="16"/>
              </w:rPr>
              <w:t>Diferença relativa</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Desconto percentual</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3,71%</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Valor do desconto</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R$ 1,63</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Dias de antecipação</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0,23</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Dias de atraso</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0,53</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Diferença de prazo</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0,31</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Desconto médio ponderado</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3,74%</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Valor do desconto</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R$ 3,79</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R$ 0,00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100,00%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Margem bruta</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R$ 53,94</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R$ 12,03</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77,71%</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Custo total</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R$ 49,45</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R$ 11,91</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75,91%</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Receita líquida</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R$ 103,39</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R$ 25,07</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75,76%</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672"/>
            <w:tcMar>
              <w:top w:w="90" w:type="dxa"/>
              <w:start w:w="90" w:type="dxa"/>
              <w:bottom w:w="90" w:type="dxa"/>
              <w:end w:w="90" w:type="dxa"/>
            </w:tcMar>
            <w:vAlign w:val="center"/>
          </w:tcPr>
          <w:p>
            <w:pPr>
              <w:spacing w:after="0" w:line="240" w:lineRule="auto"/>
              <w:jc w:val="center"/>
            </w:pPr>
            <w:r>
              <w:rPr>
                <w:rFonts w:ascii="Aptos" w:hAnsi="Aptos"/>
                <w:color w:val="000000"/>
                <w:sz w:val="16"/>
              </w:rPr>
              <w:t>Itens</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4,77</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2,00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58,07%</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6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Recência</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50,91</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23,00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54,82%</w:t>
            </w:r>
          </w:p>
        </w:tc>
      </w:tr>
    </w:tbl>
    <w:p>
      <w:pPr>
        <w:spacing w:after="20"/>
      </w:pPr>
    </w:p>
    <w:p>
      <w:r>
        <w:t>Os maiores afastamentos aparecem primeiro nas variáveis infladas por zeros: a mediana é zero, embora uma parcela dos registros tenha desconto, atraso ou antecipação. Entre as variáveis contínuas com mediana diferente de zero, destacam-se margem bruta, custo total e receita líquida no grão cliente-mês. Para o visual principal, recomenda-se um gráfico de barras horizontais com a diferença relativa, identificando separadamente as variáveis cuja mediana é zero.</w:t>
      </w:r>
    </w:p>
    <w:p>
      <w:pPr>
        <w:spacing w:before="40" w:after="160"/>
      </w:pPr>
      <w:r>
        <w:rPr>
          <w:rFonts w:ascii="Aptos" w:hAnsi="Aptos"/>
          <w:b/>
          <w:color w:val="404040"/>
          <w:sz w:val="18"/>
        </w:rPr>
        <w:t xml:space="preserve">Fonte e método: </w:t>
      </w:r>
      <w:r>
        <w:rPr>
          <w:rFonts w:ascii="Aptos" w:hAnsi="Aptos"/>
          <w:color w:val="404040"/>
          <w:sz w:val="18"/>
        </w:rPr>
        <w:t>Arquivo 02_analise_univariada.sql; comparação entre Media e Mediana. A diferença relativa foi calculada apenas para ordenar a intensidade do sinal exploratório.</w:t>
      </w:r>
    </w:p>
    <w:p>
      <w:pPr>
        <w:pStyle w:val="Question"/>
        <w:keepNext/>
      </w:pPr>
      <w:r>
        <w:rPr>
          <w:rFonts w:ascii="Aptos" w:hAnsi="Aptos"/>
          <w:b/>
          <w:color w:val="000000"/>
          <w:sz w:val="24"/>
        </w:rPr>
        <w:t>40. Quantos possíveis outliers são identificados pelo método do IQR?</w:t>
      </w:r>
    </w:p>
    <w:p>
      <w:r>
        <w:t>Foram identificadas 12.350 marcações de possíveis outliers distribuídas por 41 das 45 variáveis calculáveis. Esse total representa ocorrências por variável, não registros únicos: uma mesma linha pode ser extrema em mais de uma medida, e as granularidades possuem quantidades distintas de linhas. Portanto, 12.350 não deve ser interpretado como quantidade de clientes, pedidos ou itens anômalos.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656"/>
            <w:shd w:fill="1F4E78"/>
            <w:tcMar>
              <w:top w:w="90" w:type="dxa"/>
              <w:start w:w="90" w:type="dxa"/>
              <w:bottom w:w="90" w:type="dxa"/>
              <w:end w:w="90" w:type="dxa"/>
            </w:tcMar>
            <w:vAlign w:val="center"/>
          </w:tcPr>
          <w:p>
            <w:pPr>
              <w:jc w:val="center"/>
            </w:pPr>
            <w:r>
              <w:rPr>
                <w:rFonts w:ascii="Aptos" w:hAnsi="Aptos"/>
                <w:b/>
                <w:color w:val="FFFFFF"/>
                <w:sz w:val="16"/>
              </w:rPr>
              <w:t>Unidade</w:t>
            </w:r>
          </w:p>
        </w:tc>
        <w:tc>
          <w:tcPr>
            <w:tcW w:type="dxa" w:w="3744"/>
            <w:shd w:fill="1F4E78"/>
            <w:tcMar>
              <w:top w:w="90" w:type="dxa"/>
              <w:start w:w="90" w:type="dxa"/>
              <w:bottom w:w="90" w:type="dxa"/>
              <w:end w:w="90" w:type="dxa"/>
            </w:tcMar>
            <w:vAlign w:val="center"/>
          </w:tcPr>
          <w:p>
            <w:pPr>
              <w:jc w:val="center"/>
            </w:pPr>
            <w:r>
              <w:rPr>
                <w:rFonts w:ascii="Aptos" w:hAnsi="Aptos"/>
                <w:b/>
                <w:color w:val="FFFFFF"/>
                <w:sz w:val="16"/>
              </w:rPr>
              <w:t>Variável</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Outliers</w:t>
            </w:r>
          </w:p>
        </w:tc>
        <w:tc>
          <w:tcPr>
            <w:tcW w:type="dxa" w:w="1656"/>
            <w:shd w:fill="1F4E78"/>
            <w:tcMar>
              <w:top w:w="90" w:type="dxa"/>
              <w:start w:w="90" w:type="dxa"/>
              <w:bottom w:w="90" w:type="dxa"/>
              <w:end w:w="90" w:type="dxa"/>
            </w:tcMar>
            <w:vAlign w:val="center"/>
          </w:tcPr>
          <w:p>
            <w:pPr>
              <w:jc w:val="center"/>
            </w:pPr>
            <w:r>
              <w:rPr>
                <w:rFonts w:ascii="Aptos" w:hAnsi="Aptos"/>
                <w:b/>
                <w:color w:val="FFFFFF"/>
                <w:sz w:val="16"/>
              </w:rPr>
              <w:t>% dos válidos</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IQR</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Desconto percentual</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1.593</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24,53%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Valor do desconto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1.593</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24,53%</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Desconto médio ponderado</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689</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24,70%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Pedido</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Valor do desconto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689</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24,70%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Dias de antecipação</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634</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22,73%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0,00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Margem bruta</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587</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9,04%</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19,38</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Custo total</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440</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6,77%</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20,24</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Custo unitário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432</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6,65%</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8,90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Preço unitário de lista</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432</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6,65%</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19,70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Valor bruto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423</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6,51%</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43,13</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Item</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Valor da compra</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420</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6,47%</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42,24</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Prazo prometido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348</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12,48%</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2,00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Frequência acumulada</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268</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9,56%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5,00</w:t>
            </w:r>
          </w:p>
        </w:tc>
      </w:tr>
      <w:tr>
        <w:tc>
          <w:tcPr>
            <w:tcW w:type="dxa" w:w="16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Cliente-mês</w:t>
            </w:r>
          </w:p>
        </w:tc>
        <w:tc>
          <w:tcPr>
            <w:tcW w:type="dxa" w:w="37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Margem bruta</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262</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9,34%</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60,80</w:t>
            </w:r>
          </w:p>
        </w:tc>
      </w:tr>
      <w:tr>
        <w:tc>
          <w:tcPr>
            <w:tcW w:type="dxa" w:w="1656"/>
            <w:tcMar>
              <w:top w:w="90" w:type="dxa"/>
              <w:start w:w="90" w:type="dxa"/>
              <w:bottom w:w="90" w:type="dxa"/>
              <w:end w:w="90" w:type="dxa"/>
            </w:tcMar>
            <w:vAlign w:val="center"/>
          </w:tcPr>
          <w:p>
            <w:pPr>
              <w:spacing w:after="0" w:line="240" w:lineRule="auto"/>
              <w:jc w:val="left"/>
            </w:pPr>
            <w:r>
              <w:rPr>
                <w:rFonts w:ascii="Aptos" w:hAnsi="Aptos"/>
                <w:color w:val="000000"/>
                <w:sz w:val="16"/>
              </w:rPr>
              <w:t>Entrega</w:t>
            </w:r>
          </w:p>
        </w:tc>
        <w:tc>
          <w:tcPr>
            <w:tcW w:type="dxa" w:w="3744"/>
            <w:tcMar>
              <w:top w:w="90" w:type="dxa"/>
              <w:start w:w="90" w:type="dxa"/>
              <w:bottom w:w="90" w:type="dxa"/>
              <w:end w:w="90" w:type="dxa"/>
            </w:tcMar>
            <w:vAlign w:val="center"/>
          </w:tcPr>
          <w:p>
            <w:pPr>
              <w:spacing w:after="0" w:line="240" w:lineRule="auto"/>
              <w:jc w:val="center"/>
            </w:pPr>
            <w:r>
              <w:rPr>
                <w:rFonts w:ascii="Aptos" w:hAnsi="Aptos"/>
                <w:color w:val="000000"/>
                <w:sz w:val="16"/>
              </w:rPr>
              <w:t>Frete</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255</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9,14%</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16,24</w:t>
            </w:r>
          </w:p>
        </w:tc>
      </w:tr>
    </w:tbl>
    <w:p>
      <w:pPr>
        <w:spacing w:after="2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040"/>
        <w:gridCol w:w="5040"/>
      </w:tblGrid>
      <w:tr>
        <w:trPr>
          <w:tblHeader w:val="true"/>
        </w:trPr>
        <w:tc>
          <w:tcPr>
            <w:tcW w:type="dxa" w:w="5184"/>
            <w:shd w:fill="1F4E78"/>
            <w:tcMar>
              <w:top w:w="90" w:type="dxa"/>
              <w:start w:w="90" w:type="dxa"/>
              <w:bottom w:w="90" w:type="dxa"/>
              <w:end w:w="90" w:type="dxa"/>
            </w:tcMar>
            <w:vAlign w:val="center"/>
          </w:tcPr>
          <w:p>
            <w:pPr>
              <w:jc w:val="center"/>
            </w:pPr>
            <w:r>
              <w:rPr>
                <w:rFonts w:ascii="Aptos" w:hAnsi="Aptos"/>
                <w:b/>
                <w:color w:val="FFFFFF"/>
                <w:sz w:val="17"/>
              </w:rPr>
              <w:t>Granularidade</w:t>
            </w:r>
          </w:p>
        </w:tc>
        <w:tc>
          <w:tcPr>
            <w:tcW w:type="dxa" w:w="3168"/>
            <w:shd w:fill="1F4E78"/>
            <w:tcMar>
              <w:top w:w="90" w:type="dxa"/>
              <w:start w:w="90" w:type="dxa"/>
              <w:bottom w:w="90" w:type="dxa"/>
              <w:end w:w="90" w:type="dxa"/>
            </w:tcMar>
            <w:vAlign w:val="center"/>
          </w:tcPr>
          <w:p>
            <w:pPr>
              <w:jc w:val="center"/>
            </w:pPr>
            <w:r>
              <w:rPr>
                <w:rFonts w:ascii="Aptos" w:hAnsi="Aptos"/>
                <w:b/>
                <w:color w:val="FFFFFF"/>
                <w:sz w:val="17"/>
              </w:rPr>
              <w:t>Marcações de outlier</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7"/>
              </w:rPr>
              <w:t>28</w:t>
            </w:r>
          </w:p>
        </w:tc>
      </w:tr>
      <w:tr>
        <w:tc>
          <w:tcPr>
            <w:tcW w:type="dxa" w:w="51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2.031</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7"/>
              </w:rPr>
              <w:t>1.835</w:t>
            </w:r>
          </w:p>
        </w:tc>
      </w:tr>
      <w:tr>
        <w:tc>
          <w:tcPr>
            <w:tcW w:type="dxa" w:w="51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Item de pedido</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6.075</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7"/>
              </w:rPr>
              <w:t>2.381</w:t>
            </w:r>
          </w:p>
        </w:tc>
      </w:tr>
      <w:tr>
        <w:tc>
          <w:tcPr>
            <w:tcW w:type="dxa" w:w="51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Total</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12.350</w:t>
            </w:r>
          </w:p>
        </w:tc>
      </w:tr>
    </w:tbl>
    <w:p>
      <w:pPr>
        <w:spacing w:after="20"/>
      </w:pPr>
    </w:p>
    <w:p>
      <w:r>
        <w:t>Idade, tempo de experiência, quantidade de linhas do pedido e quantidade de produtos distintos do pedido não apresentaram marcações pelo critério adotado. Nos casos em que o IQR é zero, qualquer valor positivo acima do limite da caixa pode ser marcado; isso explica a concentração em desconto e antecipação. Tais ocorrências devem ser tratadas como eventos raros a investigar, e não removidas automaticamente como erros.</w:t>
      </w:r>
    </w:p>
    <w:p>
      <w:pPr>
        <w:spacing w:before="40" w:after="160"/>
      </w:pPr>
      <w:r>
        <w:rPr>
          <w:rFonts w:ascii="Aptos" w:hAnsi="Aptos"/>
          <w:b/>
          <w:color w:val="404040"/>
          <w:sz w:val="18"/>
        </w:rPr>
        <w:t xml:space="preserve">Fonte e método: </w:t>
      </w:r>
      <w:r>
        <w:rPr>
          <w:rFonts w:ascii="Aptos" w:hAnsi="Aptos"/>
          <w:color w:val="404040"/>
          <w:sz w:val="18"/>
        </w:rPr>
        <w:t>Arquivo 02_analise_univariada.sql; limites de Tukey: inferior = Q1 − 1,5×IQR e superior = Q3 + 1,5×IQR. A tabela principal mostra as 15 maiores contagens.</w:t>
      </w:r>
    </w:p>
    <w:p>
      <w:pPr>
        <w:pStyle w:val="Question"/>
        <w:keepNext/>
      </w:pPr>
      <w:r>
        <w:rPr>
          <w:rFonts w:ascii="Aptos" w:hAnsi="Aptos"/>
          <w:b/>
          <w:color w:val="000000"/>
          <w:sz w:val="24"/>
        </w:rPr>
        <w:t>41. Os possíveis outliers estão concentrados em alguma variável ou unidade de análise?</w:t>
      </w:r>
    </w:p>
    <w:p>
      <w:r>
        <w:t>Sim. A unidade item de pedido concentra 6.075 marcações, equivalentes a 49,19% do total. Somadas, as unidades item e pedido respondem por 68,47% das 12.350 ocorrências. As quatro medidas de desconto acumulam 4.564 marcações, ou 36,96% do total.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4320"/>
            <w:shd w:fill="1F4E78"/>
            <w:tcMar>
              <w:top w:w="90" w:type="dxa"/>
              <w:start w:w="90" w:type="dxa"/>
              <w:bottom w:w="90" w:type="dxa"/>
              <w:end w:w="90" w:type="dxa"/>
            </w:tcMar>
            <w:vAlign w:val="center"/>
          </w:tcPr>
          <w:p>
            <w:pPr>
              <w:jc w:val="center"/>
            </w:pPr>
            <w:r>
              <w:rPr>
                <w:rFonts w:ascii="Aptos" w:hAnsi="Aptos"/>
                <w:b/>
                <w:color w:val="FFFFFF"/>
                <w:sz w:val="17"/>
              </w:rPr>
              <w:t>Unidade</w:t>
            </w:r>
          </w:p>
        </w:tc>
        <w:tc>
          <w:tcPr>
            <w:tcW w:type="dxa" w:w="2448"/>
            <w:shd w:fill="1F4E78"/>
            <w:tcMar>
              <w:top w:w="90" w:type="dxa"/>
              <w:start w:w="90" w:type="dxa"/>
              <w:bottom w:w="90" w:type="dxa"/>
              <w:end w:w="90" w:type="dxa"/>
            </w:tcMar>
            <w:vAlign w:val="center"/>
          </w:tcPr>
          <w:p>
            <w:pPr>
              <w:jc w:val="center"/>
            </w:pPr>
            <w:r>
              <w:rPr>
                <w:rFonts w:ascii="Aptos" w:hAnsi="Aptos"/>
                <w:b/>
                <w:color w:val="FFFFFF"/>
                <w:sz w:val="17"/>
              </w:rPr>
              <w:t>Marcações</w:t>
            </w:r>
          </w:p>
        </w:tc>
        <w:tc>
          <w:tcPr>
            <w:tcW w:type="dxa" w:w="2448"/>
            <w:shd w:fill="1F4E78"/>
            <w:tcMar>
              <w:top w:w="90" w:type="dxa"/>
              <w:start w:w="90" w:type="dxa"/>
              <w:bottom w:w="90" w:type="dxa"/>
              <w:end w:w="90" w:type="dxa"/>
            </w:tcMar>
            <w:vAlign w:val="center"/>
          </w:tcPr>
          <w:p>
            <w:pPr>
              <w:jc w:val="center"/>
            </w:pPr>
            <w:r>
              <w:rPr>
                <w:rFonts w:ascii="Aptos" w:hAnsi="Aptos"/>
                <w:b/>
                <w:color w:val="FFFFFF"/>
                <w:sz w:val="17"/>
              </w:rPr>
              <w:t>Participação</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Item de pedido</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6.075</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49,19%</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Pedido</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2.381</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19,28%</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Cliente-mês</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2.031</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16,45%</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Entrega</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1.835</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14,86%</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Cliente</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28</w:t>
            </w:r>
          </w:p>
        </w:tc>
        <w:tc>
          <w:tcPr>
            <w:tcW w:type="dxa" w:w="2448"/>
            <w:tcMar>
              <w:top w:w="90" w:type="dxa"/>
              <w:start w:w="90" w:type="dxa"/>
              <w:bottom w:w="90" w:type="dxa"/>
              <w:end w:w="90" w:type="dxa"/>
            </w:tcMar>
            <w:vAlign w:val="center"/>
          </w:tcPr>
          <w:p>
            <w:pPr>
              <w:spacing w:after="0" w:line="240" w:lineRule="auto"/>
              <w:jc w:val="center"/>
            </w:pPr>
            <w:r>
              <w:rPr>
                <w:rFonts w:ascii="Aptos" w:hAnsi="Aptos"/>
                <w:color w:val="000000"/>
                <w:sz w:val="17"/>
              </w:rPr>
              <w:t>0,23%</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Total</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12.350</w:t>
            </w:r>
          </w:p>
        </w:tc>
        <w:tc>
          <w:tcPr>
            <w:tcW w:type="dxa" w:w="244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100,00%</w:t>
            </w:r>
          </w:p>
        </w:tc>
      </w:tr>
    </w:tbl>
    <w:p>
      <w:pPr>
        <w:spacing w:after="20"/>
      </w:pPr>
    </w:p>
    <w:p>
      <w:r>
        <w:t>A concentração em descontos é parcialmente mecânica: como pelo menos 75% dos registros têm desconto zero, Q1, Q3 e IQR são iguais a zero; assim, qualquer desconto positivo ultrapassa o limite superior do boxplot. Esses casos representam eventos comerciais menos frequentes e não devem ser removidos automaticamente.</w:t>
      </w:r>
    </w:p>
    <w:p>
      <w:pPr>
        <w:spacing w:before="40" w:after="160"/>
      </w:pPr>
      <w:r>
        <w:rPr>
          <w:rFonts w:ascii="Aptos" w:hAnsi="Aptos"/>
          <w:b/>
          <w:color w:val="404040"/>
          <w:sz w:val="18"/>
        </w:rPr>
        <w:t xml:space="preserve">Fonte e método: </w:t>
      </w:r>
      <w:r>
        <w:rPr>
          <w:rFonts w:ascii="Aptos" w:hAnsi="Aptos"/>
          <w:color w:val="404040"/>
          <w:sz w:val="18"/>
        </w:rPr>
        <w:t>Arquivo 02_analise_univariada.sql; agregação das marcações por variável e granularidade.</w:t>
      </w:r>
    </w:p>
    <w:p>
      <w:r>
        <w:br w:type="page"/>
      </w:r>
    </w:p>
    <w:p>
      <w:pPr>
        <w:pStyle w:val="Question"/>
        <w:keepNext/>
      </w:pPr>
      <w:r>
        <w:rPr>
          <w:rFonts w:ascii="Aptos" w:hAnsi="Aptos"/>
          <w:b/>
          <w:color w:val="000000"/>
          <w:sz w:val="24"/>
        </w:rPr>
        <w:t>42. Os zeros observados representam inatividade legítima, limitação da fonte ou valor suspeito?</w:t>
      </w:r>
    </w:p>
    <w:p>
      <w:r>
        <w:t>Predominantemente, os zeros possuem significado operacional legítimo. Nos meses sem compra, zero representa inatividade preservada pela grade cliente-mês; em desconto, indica venda sem desconto; em frete, identifica gratuidade; e em atraso ou antecipação, indica ausência daquele evento. As 44 rendas iguais a zero foram mantidas porque o contexto profissional sustenta casos de estudante, desempregado ou pessoa sem ocupação. Não foram identificados zeros financeiros negativos ou quantidades zero remanescentes na Gold.</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456"/>
            <w:shd w:fill="1F4E78"/>
            <w:tcMar>
              <w:top w:w="90" w:type="dxa"/>
              <w:start w:w="90" w:type="dxa"/>
              <w:bottom w:w="90" w:type="dxa"/>
              <w:end w:w="90" w:type="dxa"/>
            </w:tcMar>
            <w:vAlign w:val="center"/>
          </w:tcPr>
          <w:p>
            <w:pPr>
              <w:jc w:val="center"/>
            </w:pPr>
            <w:r>
              <w:rPr>
                <w:rFonts w:ascii="Aptos" w:hAnsi="Aptos"/>
                <w:b/>
                <w:color w:val="FFFFFF"/>
                <w:sz w:val="16"/>
              </w:rPr>
              <w:t>Variável</w:t>
            </w:r>
          </w:p>
        </w:tc>
        <w:tc>
          <w:tcPr>
            <w:tcW w:type="dxa" w:w="1152"/>
            <w:shd w:fill="1F4E78"/>
            <w:tcMar>
              <w:top w:w="90" w:type="dxa"/>
              <w:start w:w="90" w:type="dxa"/>
              <w:bottom w:w="90" w:type="dxa"/>
              <w:end w:w="90" w:type="dxa"/>
            </w:tcMar>
            <w:vAlign w:val="center"/>
          </w:tcPr>
          <w:p>
            <w:pPr>
              <w:jc w:val="center"/>
            </w:pPr>
            <w:r>
              <w:rPr>
                <w:rFonts w:ascii="Aptos" w:hAnsi="Aptos"/>
                <w:b/>
                <w:color w:val="FFFFFF"/>
                <w:sz w:val="16"/>
              </w:rPr>
              <w:t>Zeros</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w:t>
            </w:r>
          </w:p>
        </w:tc>
        <w:tc>
          <w:tcPr>
            <w:tcW w:type="dxa" w:w="4176"/>
            <w:shd w:fill="1F4E78"/>
            <w:tcMar>
              <w:top w:w="90" w:type="dxa"/>
              <w:start w:w="90" w:type="dxa"/>
              <w:bottom w:w="90" w:type="dxa"/>
              <w:end w:w="90" w:type="dxa"/>
            </w:tcMar>
            <w:vAlign w:val="center"/>
          </w:tcPr>
          <w:p>
            <w:pPr>
              <w:jc w:val="center"/>
            </w:pPr>
            <w:r>
              <w:rPr>
                <w:rFonts w:ascii="Aptos" w:hAnsi="Aptos"/>
                <w:b/>
                <w:color w:val="FFFFFF"/>
                <w:sz w:val="16"/>
              </w:rPr>
              <w:t>Interpretação</w:t>
            </w:r>
          </w:p>
        </w:tc>
      </w:tr>
      <w:tr>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6"/>
              </w:rPr>
              <w:t>Receita, custo, margem e pedidos no cliente-mês</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6"/>
              </w:rPr>
              <w:t>1.203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42,90%</w:t>
            </w:r>
          </w:p>
        </w:tc>
        <w:tc>
          <w:tcPr>
            <w:tcW w:type="dxa" w:w="4176"/>
            <w:tcMar>
              <w:top w:w="90" w:type="dxa"/>
              <w:start w:w="90" w:type="dxa"/>
              <w:bottom w:w="90" w:type="dxa"/>
              <w:end w:w="90" w:type="dxa"/>
            </w:tcMar>
            <w:vAlign w:val="center"/>
          </w:tcPr>
          <w:p>
            <w:pPr>
              <w:spacing w:after="0" w:line="240" w:lineRule="auto"/>
              <w:jc w:val="center"/>
            </w:pPr>
            <w:r>
              <w:rPr>
                <w:rFonts w:ascii="Aptos" w:hAnsi="Aptos"/>
                <w:color w:val="000000"/>
                <w:sz w:val="16"/>
              </w:rPr>
              <w:t>Meses sem compra; inatividade legítima</w:t>
            </w:r>
          </w:p>
        </w:tc>
      </w:tr>
      <w:tr>
        <w:tc>
          <w:tcPr>
            <w:tcW w:type="dxa" w:w="34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Desconto no item</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4.902</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75,47%</w:t>
            </w:r>
          </w:p>
        </w:tc>
        <w:tc>
          <w:tcPr>
            <w:tcW w:type="dxa" w:w="417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Venda sem desconto</w:t>
            </w:r>
          </w:p>
        </w:tc>
      </w:tr>
      <w:tr>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6"/>
              </w:rPr>
              <w:t>Desconto no pedido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6"/>
              </w:rPr>
              <w:t>2.100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75,30%</w:t>
            </w:r>
          </w:p>
        </w:tc>
        <w:tc>
          <w:tcPr>
            <w:tcW w:type="dxa" w:w="4176"/>
            <w:tcMar>
              <w:top w:w="90" w:type="dxa"/>
              <w:start w:w="90" w:type="dxa"/>
              <w:bottom w:w="90" w:type="dxa"/>
              <w:end w:w="90" w:type="dxa"/>
            </w:tcMar>
            <w:vAlign w:val="center"/>
          </w:tcPr>
          <w:p>
            <w:pPr>
              <w:spacing w:after="0" w:line="240" w:lineRule="auto"/>
              <w:jc w:val="center"/>
            </w:pPr>
            <w:r>
              <w:rPr>
                <w:rFonts w:ascii="Aptos" w:hAnsi="Aptos"/>
                <w:color w:val="000000"/>
                <w:sz w:val="16"/>
              </w:rPr>
              <w:t>Pedido sem desconto</w:t>
            </w:r>
          </w:p>
        </w:tc>
      </w:tr>
      <w:tr>
        <w:tc>
          <w:tcPr>
            <w:tcW w:type="dxa" w:w="34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Dias de atraso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1.859</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66,65%</w:t>
            </w:r>
          </w:p>
        </w:tc>
        <w:tc>
          <w:tcPr>
            <w:tcW w:type="dxa" w:w="417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Entrega sem atraso</w:t>
            </w:r>
          </w:p>
        </w:tc>
      </w:tr>
      <w:tr>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6"/>
              </w:rPr>
              <w:t>Dias de antecipação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6"/>
              </w:rPr>
              <w:t>2.155</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77,27%</w:t>
            </w:r>
          </w:p>
        </w:tc>
        <w:tc>
          <w:tcPr>
            <w:tcW w:type="dxa" w:w="4176"/>
            <w:tcMar>
              <w:top w:w="90" w:type="dxa"/>
              <w:start w:w="90" w:type="dxa"/>
              <w:bottom w:w="90" w:type="dxa"/>
              <w:end w:w="90" w:type="dxa"/>
            </w:tcMar>
            <w:vAlign w:val="center"/>
          </w:tcPr>
          <w:p>
            <w:pPr>
              <w:spacing w:after="0" w:line="240" w:lineRule="auto"/>
              <w:jc w:val="center"/>
            </w:pPr>
            <w:r>
              <w:rPr>
                <w:rFonts w:ascii="Aptos" w:hAnsi="Aptos"/>
                <w:color w:val="000000"/>
                <w:sz w:val="16"/>
              </w:rPr>
              <w:t>Entrega não antecipada</w:t>
            </w:r>
          </w:p>
        </w:tc>
      </w:tr>
      <w:tr>
        <w:tc>
          <w:tcPr>
            <w:tcW w:type="dxa" w:w="3456"/>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Frete</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455</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16,31%</w:t>
            </w:r>
          </w:p>
        </w:tc>
        <w:tc>
          <w:tcPr>
            <w:tcW w:type="dxa" w:w="417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Frete grátis</w:t>
            </w:r>
          </w:p>
        </w:tc>
      </w:tr>
      <w:tr>
        <w:tc>
          <w:tcPr>
            <w:tcW w:type="dxa" w:w="3456"/>
            <w:tcMar>
              <w:top w:w="90" w:type="dxa"/>
              <w:start w:w="90" w:type="dxa"/>
              <w:bottom w:w="90" w:type="dxa"/>
              <w:end w:w="90" w:type="dxa"/>
            </w:tcMar>
            <w:vAlign w:val="center"/>
          </w:tcPr>
          <w:p>
            <w:pPr>
              <w:spacing w:after="0" w:line="240" w:lineRule="auto"/>
              <w:jc w:val="left"/>
            </w:pPr>
            <w:r>
              <w:rPr>
                <w:rFonts w:ascii="Aptos" w:hAnsi="Aptos"/>
                <w:color w:val="000000"/>
                <w:sz w:val="16"/>
              </w:rPr>
              <w:t>Renda mensal</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6"/>
              </w:rPr>
              <w:t>44</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13,33%</w:t>
            </w:r>
          </w:p>
        </w:tc>
        <w:tc>
          <w:tcPr>
            <w:tcW w:type="dxa" w:w="4176"/>
            <w:tcMar>
              <w:top w:w="90" w:type="dxa"/>
              <w:start w:w="90" w:type="dxa"/>
              <w:bottom w:w="90" w:type="dxa"/>
              <w:end w:w="90" w:type="dxa"/>
            </w:tcMar>
            <w:vAlign w:val="center"/>
          </w:tcPr>
          <w:p>
            <w:pPr>
              <w:spacing w:after="0" w:line="240" w:lineRule="auto"/>
              <w:jc w:val="center"/>
            </w:pPr>
            <w:r>
              <w:rPr>
                <w:rFonts w:ascii="Aptos" w:hAnsi="Aptos"/>
                <w:color w:val="000000"/>
                <w:sz w:val="16"/>
              </w:rPr>
              <w:t>Zero plausível conforme contexto profissional</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Arquivos 02_analise_univariada.sql e regras de qualidade da Silver; interpretação condicionada ao significado de cada medida.</w:t>
      </w:r>
    </w:p>
    <w:p>
      <w:pPr>
        <w:pStyle w:val="Heading1"/>
      </w:pPr>
      <w:r>
        <w:t>Bloco 5 Distribuição das variáveis categóricas</w:t>
      </w:r>
    </w:p>
    <w:p>
      <w:pPr>
        <w:pStyle w:val="Question"/>
        <w:keepNext/>
      </w:pPr>
      <w:r>
        <w:rPr>
          <w:rFonts w:ascii="Aptos" w:hAnsi="Aptos"/>
          <w:b/>
          <w:color w:val="000000"/>
          <w:sz w:val="24"/>
        </w:rPr>
        <w:t>43. Quais categorias existem em cada variável qualitativa?</w:t>
      </w:r>
    </w:p>
    <w:p>
      <w:r>
        <w:t>Os domínios categóricos estão controlados e coerentes com as dimensões Gold. Os campos de maior cardinalidade são produto, profissão e medida; por isso, sua listagem completa permanece no resultado técnico do SQL, enquanto o relatório resume o tamanho e os principais valores de cada domínio.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1440"/>
            <w:shd w:fill="1F4E78"/>
            <w:tcMar>
              <w:top w:w="90" w:type="dxa"/>
              <w:start w:w="90" w:type="dxa"/>
              <w:bottom w:w="90" w:type="dxa"/>
              <w:end w:w="90" w:type="dxa"/>
            </w:tcMar>
            <w:vAlign w:val="center"/>
          </w:tcPr>
          <w:p>
            <w:pPr>
              <w:jc w:val="center"/>
            </w:pPr>
            <w:r>
              <w:rPr>
                <w:rFonts w:ascii="Aptos" w:hAnsi="Aptos"/>
                <w:b/>
                <w:color w:val="FFFFFF"/>
                <w:sz w:val="15"/>
              </w:rPr>
              <w:t>Grão</w:t>
            </w:r>
          </w:p>
        </w:tc>
        <w:tc>
          <w:tcPr>
            <w:tcW w:type="dxa" w:w="2880"/>
            <w:shd w:fill="1F4E78"/>
            <w:tcMar>
              <w:top w:w="90" w:type="dxa"/>
              <w:start w:w="90" w:type="dxa"/>
              <w:bottom w:w="90" w:type="dxa"/>
              <w:end w:w="90" w:type="dxa"/>
            </w:tcMar>
            <w:vAlign w:val="center"/>
          </w:tcPr>
          <w:p>
            <w:pPr>
              <w:jc w:val="center"/>
            </w:pPr>
            <w:r>
              <w:rPr>
                <w:rFonts w:ascii="Aptos" w:hAnsi="Aptos"/>
                <w:b/>
                <w:color w:val="FFFFFF"/>
                <w:sz w:val="15"/>
              </w:rPr>
              <w:t>Variável</w:t>
            </w:r>
          </w:p>
        </w:tc>
        <w:tc>
          <w:tcPr>
            <w:tcW w:type="dxa" w:w="1152"/>
            <w:shd w:fill="1F4E78"/>
            <w:tcMar>
              <w:top w:w="90" w:type="dxa"/>
              <w:start w:w="90" w:type="dxa"/>
              <w:bottom w:w="90" w:type="dxa"/>
              <w:end w:w="90" w:type="dxa"/>
            </w:tcMar>
            <w:vAlign w:val="center"/>
          </w:tcPr>
          <w:p>
            <w:pPr>
              <w:jc w:val="center"/>
            </w:pPr>
            <w:r>
              <w:rPr>
                <w:rFonts w:ascii="Aptos" w:hAnsi="Aptos"/>
                <w:b/>
                <w:color w:val="FFFFFF"/>
                <w:sz w:val="15"/>
              </w:rPr>
              <w:t>Categorias</w:t>
            </w:r>
          </w:p>
        </w:tc>
        <w:tc>
          <w:tcPr>
            <w:tcW w:type="dxa" w:w="4464"/>
            <w:shd w:fill="1F4E78"/>
            <w:tcMar>
              <w:top w:w="90" w:type="dxa"/>
              <w:start w:w="90" w:type="dxa"/>
              <w:bottom w:w="90" w:type="dxa"/>
              <w:end w:w="90" w:type="dxa"/>
            </w:tcMar>
            <w:vAlign w:val="center"/>
          </w:tcPr>
          <w:p>
            <w:pPr>
              <w:jc w:val="center"/>
            </w:pPr>
            <w:r>
              <w:rPr>
                <w:rFonts w:ascii="Aptos" w:hAnsi="Aptos"/>
                <w:b/>
                <w:color w:val="FFFFFF"/>
                <w:sz w:val="15"/>
              </w:rPr>
              <w:t>Domínio resumido</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Gênero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3</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Feminino, Masculino e Outro</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Estado civil</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Solteiro, Casado, Divorciado e Viúvo</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Escolaridade</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9</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Fundamental a Doutorado</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Situação profissional</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6</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Empregado, Autônomo, Estudante, Desempregado, Aposentado e Empresário</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Profissão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31</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Sem ocupação e 30 ocupações informadas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Categoria favorita informada</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13</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Categorias do catálogo</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Pagamento preferido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5</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Pix, crédito, débito, boleto e dinheiro</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Cliente</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 preferido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7</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Dias da semana</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Geografia</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Estado e cidade</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13 e 15</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13 UFs e 15 cidades válidas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Forma de pagamento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5</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Cinco formas observadas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Campanha</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6</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Cinco campanhas e Sem campanha</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Evento externo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Três eventos e Nenhum</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Canal de marketing</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9</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Nove canais</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Pedido</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Transportadora</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5</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Cinco transportadoras válidas</w:t>
            </w:r>
          </w:p>
        </w:tc>
      </w:tr>
      <w:tr>
        <w:tc>
          <w:tcPr>
            <w:tcW w:type="dxa" w:w="1440"/>
            <w:tcMar>
              <w:top w:w="90" w:type="dxa"/>
              <w:start w:w="90" w:type="dxa"/>
              <w:bottom w:w="90" w:type="dxa"/>
              <w:end w:w="90" w:type="dxa"/>
            </w:tcMar>
            <w:vAlign w:val="center"/>
          </w:tcPr>
          <w:p>
            <w:pPr>
              <w:spacing w:after="0" w:line="240" w:lineRule="auto"/>
              <w:jc w:val="left"/>
            </w:pPr>
            <w:r>
              <w:rPr>
                <w:rFonts w:ascii="Aptos" w:hAnsi="Aptos"/>
                <w:color w:val="000000"/>
                <w:sz w:val="15"/>
              </w:rPr>
              <w:t>Entrega</w:t>
            </w:r>
          </w:p>
        </w:tc>
        <w:tc>
          <w:tcPr>
            <w:tcW w:type="dxa" w:w="2880"/>
            <w:tcMar>
              <w:top w:w="90" w:type="dxa"/>
              <w:start w:w="90" w:type="dxa"/>
              <w:bottom w:w="90" w:type="dxa"/>
              <w:end w:w="90" w:type="dxa"/>
            </w:tcMar>
            <w:vAlign w:val="center"/>
          </w:tcPr>
          <w:p>
            <w:pPr>
              <w:spacing w:after="0" w:line="240" w:lineRule="auto"/>
              <w:jc w:val="center"/>
            </w:pPr>
            <w:r>
              <w:rPr>
                <w:rFonts w:ascii="Aptos" w:hAnsi="Aptos"/>
                <w:color w:val="000000"/>
                <w:sz w:val="15"/>
              </w:rPr>
              <w:t>Status calculado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5"/>
              </w:rPr>
              <w:t>3</w:t>
            </w:r>
          </w:p>
        </w:tc>
        <w:tc>
          <w:tcPr>
            <w:tcW w:type="dxa" w:w="4464"/>
            <w:tcMar>
              <w:top w:w="90" w:type="dxa"/>
              <w:start w:w="90" w:type="dxa"/>
              <w:bottom w:w="90" w:type="dxa"/>
              <w:end w:w="90" w:type="dxa"/>
            </w:tcMar>
            <w:vAlign w:val="center"/>
          </w:tcPr>
          <w:p>
            <w:pPr>
              <w:spacing w:after="0" w:line="240" w:lineRule="auto"/>
              <w:jc w:val="center"/>
            </w:pPr>
            <w:r>
              <w:rPr>
                <w:rFonts w:ascii="Aptos" w:hAnsi="Aptos"/>
                <w:color w:val="000000"/>
                <w:sz w:val="15"/>
              </w:rPr>
              <w:t>Antecipada, No prazo e Atrasada</w:t>
            </w:r>
          </w:p>
        </w:tc>
      </w:tr>
      <w:tr>
        <w:tc>
          <w:tcPr>
            <w:tcW w:type="dxa" w:w="1440"/>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Produto</w:t>
            </w:r>
          </w:p>
        </w:tc>
        <w:tc>
          <w:tcPr>
            <w:tcW w:type="dxa" w:w="288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Categoria, produto e medida</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13, 36 e 25</w:t>
            </w:r>
          </w:p>
        </w:tc>
        <w:tc>
          <w:tcPr>
            <w:tcW w:type="dxa" w:w="446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Catálogo completo vendido</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 02_analise_univariada.sql e dimensões Gold; Ciclo_Vida_Informado permanece indisponível e não foi tratado como domínio utilizável.</w:t>
      </w:r>
    </w:p>
    <w:p>
      <w:pPr>
        <w:pStyle w:val="Question"/>
        <w:keepNext/>
      </w:pPr>
      <w:r>
        <w:rPr>
          <w:rFonts w:ascii="Aptos" w:hAnsi="Aptos"/>
          <w:b/>
          <w:color w:val="000000"/>
          <w:sz w:val="24"/>
        </w:rPr>
        <w:t>44. Qual é a frequência absoluta e relativa de cada categoria?</w:t>
      </w:r>
    </w:p>
    <w:p>
      <w:r>
        <w:t>As frequências completas ficam disponíveis no resultado do SQL. A tabela abaixo concentra as distribuições essenciais para a leitura geral do perfil; as demais categorias são retomadas nas perguntas 45 a 50.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024"/>
            <w:shd w:fill="1F4E78"/>
            <w:tcMar>
              <w:top w:w="90" w:type="dxa"/>
              <w:start w:w="90" w:type="dxa"/>
              <w:bottom w:w="90" w:type="dxa"/>
              <w:end w:w="90" w:type="dxa"/>
            </w:tcMar>
            <w:vAlign w:val="center"/>
          </w:tcPr>
          <w:p>
            <w:pPr>
              <w:jc w:val="center"/>
            </w:pPr>
            <w:r>
              <w:rPr>
                <w:rFonts w:ascii="Aptos" w:hAnsi="Aptos"/>
                <w:b/>
                <w:color w:val="FFFFFF"/>
                <w:sz w:val="16"/>
              </w:rPr>
              <w:t>Variável</w:t>
            </w:r>
          </w:p>
        </w:tc>
        <w:tc>
          <w:tcPr>
            <w:tcW w:type="dxa" w:w="3888"/>
            <w:shd w:fill="1F4E78"/>
            <w:tcMar>
              <w:top w:w="90" w:type="dxa"/>
              <w:start w:w="90" w:type="dxa"/>
              <w:bottom w:w="90" w:type="dxa"/>
              <w:end w:w="90" w:type="dxa"/>
            </w:tcMar>
            <w:vAlign w:val="center"/>
          </w:tcPr>
          <w:p>
            <w:pPr>
              <w:jc w:val="center"/>
            </w:pPr>
            <w:r>
              <w:rPr>
                <w:rFonts w:ascii="Aptos" w:hAnsi="Aptos"/>
                <w:b/>
                <w:color w:val="FFFFFF"/>
                <w:sz w:val="16"/>
              </w:rPr>
              <w:t>Categoria</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Frequência</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Masculino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170</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51,52%</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Feminino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152</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46,06%</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Outro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8</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2,42%</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Estado civil</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Solteiro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139</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42,12%</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Estado civil</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Casado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133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40,30%</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Estado civil</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Divorciado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45</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13,64%</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Estado civil</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Viúvo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3,94%</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Empregado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177</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53,64%</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Autônomo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56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16,97%</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Estudante</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41</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12,42%</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Desempregado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29</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8,79%</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Aposentado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15</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4,55%</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Situação profissional</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Empresário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12</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3,64%</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Ensino Médio Completo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90</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27,27%</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Ensino Superior Completo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88</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26,67%</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Ensino Superior Incompleto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42</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12,73%</w:t>
            </w:r>
          </w:p>
        </w:tc>
      </w:tr>
      <w:tr>
        <w:tc>
          <w:tcPr>
            <w:tcW w:type="dxa" w:w="3024"/>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Pós-graduação</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36</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10,91%</w:t>
            </w:r>
          </w:p>
        </w:tc>
      </w:tr>
      <w:tr>
        <w:tc>
          <w:tcPr>
            <w:tcW w:type="dxa" w:w="302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Demais cinco categorias</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74</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22,42%</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 02_analise_univariada.sql; frequências calculadas no grão adequado de cliente, pedido, entrega ou item.</w:t>
      </w:r>
    </w:p>
    <w:p>
      <w:pPr>
        <w:pStyle w:val="Question"/>
        <w:keepNext/>
      </w:pPr>
      <w:r>
        <w:rPr>
          <w:rFonts w:ascii="Aptos" w:hAnsi="Aptos"/>
          <w:b/>
          <w:color w:val="000000"/>
          <w:sz w:val="24"/>
        </w:rPr>
        <w:t>45. Qual é a moda de cada variável categórica?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168"/>
            <w:shd w:fill="1F4E78"/>
            <w:tcMar>
              <w:top w:w="90" w:type="dxa"/>
              <w:start w:w="90" w:type="dxa"/>
              <w:bottom w:w="90" w:type="dxa"/>
              <w:end w:w="90" w:type="dxa"/>
            </w:tcMar>
            <w:vAlign w:val="center"/>
          </w:tcPr>
          <w:p>
            <w:pPr>
              <w:jc w:val="center"/>
            </w:pPr>
            <w:r>
              <w:rPr>
                <w:rFonts w:ascii="Aptos" w:hAnsi="Aptos"/>
                <w:b/>
                <w:color w:val="FFFFFF"/>
                <w:sz w:val="15"/>
              </w:rPr>
              <w:t>Variável</w:t>
            </w:r>
          </w:p>
        </w:tc>
        <w:tc>
          <w:tcPr>
            <w:tcW w:type="dxa" w:w="3600"/>
            <w:shd w:fill="1F4E78"/>
            <w:tcMar>
              <w:top w:w="90" w:type="dxa"/>
              <w:start w:w="90" w:type="dxa"/>
              <w:bottom w:w="90" w:type="dxa"/>
              <w:end w:w="90" w:type="dxa"/>
            </w:tcMar>
            <w:vAlign w:val="center"/>
          </w:tcPr>
          <w:p>
            <w:pPr>
              <w:jc w:val="center"/>
            </w:pPr>
            <w:r>
              <w:rPr>
                <w:rFonts w:ascii="Aptos" w:hAnsi="Aptos"/>
                <w:b/>
                <w:color w:val="FFFFFF"/>
                <w:sz w:val="15"/>
              </w:rPr>
              <w:t>Moda</w:t>
            </w:r>
          </w:p>
        </w:tc>
        <w:tc>
          <w:tcPr>
            <w:tcW w:type="dxa" w:w="1728"/>
            <w:shd w:fill="1F4E78"/>
            <w:tcMar>
              <w:top w:w="90" w:type="dxa"/>
              <w:start w:w="90" w:type="dxa"/>
              <w:bottom w:w="90" w:type="dxa"/>
              <w:end w:w="90" w:type="dxa"/>
            </w:tcMar>
            <w:vAlign w:val="center"/>
          </w:tcPr>
          <w:p>
            <w:pPr>
              <w:jc w:val="center"/>
            </w:pPr>
            <w:r>
              <w:rPr>
                <w:rFonts w:ascii="Aptos" w:hAnsi="Aptos"/>
                <w:b/>
                <w:color w:val="FFFFFF"/>
                <w:sz w:val="15"/>
              </w:rPr>
              <w:t>Frequência</w:t>
            </w:r>
          </w:p>
        </w:tc>
        <w:tc>
          <w:tcPr>
            <w:tcW w:type="dxa" w:w="1584"/>
            <w:shd w:fill="1F4E78"/>
            <w:tcMar>
              <w:top w:w="90" w:type="dxa"/>
              <w:start w:w="90" w:type="dxa"/>
              <w:bottom w:w="90" w:type="dxa"/>
              <w:end w:w="90" w:type="dxa"/>
            </w:tcMar>
            <w:vAlign w:val="center"/>
          </w:tcPr>
          <w:p>
            <w:pPr>
              <w:jc w:val="center"/>
            </w:pPr>
            <w:r>
              <w:rPr>
                <w:rFonts w:ascii="Aptos" w:hAnsi="Aptos"/>
                <w:b/>
                <w:color w:val="FFFFFF"/>
                <w:sz w:val="15"/>
              </w:rPr>
              <w:t>% do grão</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Gênero</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Masculino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170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51,52%</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Estado civil</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Solteiro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139</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42,12%</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Escolaridade</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Ensino Médio Completo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90</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27,27%</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Situação profissional</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Empregado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177</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53,64%</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Profissão</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Sem ocupação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29</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8,79%</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Categoria favorita informada</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Chocolates</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51</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15,45%</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Pagamento preferido</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Pix</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121</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36,67%</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Dia preferido</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Sábado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70</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21,21%</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Cidade</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São Paulo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62</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18,79%</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Estado</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SP</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95</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28,79%</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Pagamento do pedido</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Cartão de Crédito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1.052</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37,72%</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Campanha</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Sem campanha</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1.728</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61,96%</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Evento externo</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Nenhum</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1.967</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70,53%</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Canal</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Orgânico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696</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24,96%</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Transportadora</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RápidoLog</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866</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31,05%</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Status de entrega</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No prazo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1.225</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43,92%</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5"/>
              </w:rPr>
              <w:t>Categoria vendida</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5"/>
              </w:rPr>
              <w:t>Café</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5"/>
              </w:rPr>
              <w:t>914 linhas</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5"/>
              </w:rPr>
              <w:t>14,07%</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5"/>
              </w:rPr>
              <w:t>Produto</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Café Tradicional 500g</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316 linhas</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5"/>
              </w:rPr>
              <w:t>4,87%</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Arquivo 02_analise_univariada.sql; moda definida como a categoria de maior frequência absoluta.</w:t>
      </w:r>
    </w:p>
    <w:p>
      <w:pPr>
        <w:pStyle w:val="Question"/>
        <w:keepNext/>
      </w:pPr>
      <w:r>
        <w:rPr>
          <w:rFonts w:ascii="Aptos" w:hAnsi="Aptos"/>
          <w:b/>
          <w:color w:val="000000"/>
          <w:sz w:val="24"/>
        </w:rPr>
        <w:t>46. Existem empates na moda?</w:t>
      </w:r>
    </w:p>
    <w:p>
      <w:r>
        <w:t>Não. Todas as variáveis categóricas avaliadas apresentam uma moda única. Isso não significa distribuição equilibrada: apenas indica que nenhuma outra categoria alcançou exatamente a mesma frequência da categoria modal.</w:t>
      </w:r>
    </w:p>
    <w:p>
      <w:pPr>
        <w:pStyle w:val="Question"/>
        <w:keepNext/>
      </w:pPr>
      <w:r>
        <w:rPr>
          <w:rFonts w:ascii="Aptos" w:hAnsi="Aptos"/>
          <w:b/>
          <w:color w:val="000000"/>
          <w:sz w:val="24"/>
        </w:rPr>
        <w:t>47. Existem categorias raras ou com poucas observações?</w:t>
      </w:r>
    </w:p>
    <w:p>
      <w:r>
        <w:t>Sim, principalmente em Profissão. Adotando como referência exploratória menos de 1% dos 330 clientes, cinco profissões são raras. Gênero Outro, Doutorado e Viúvo também exigem cautela em cruzamentos, embora superem 1% isoladamente.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5184"/>
            <w:shd w:fill="1F4E78"/>
            <w:tcMar>
              <w:top w:w="90" w:type="dxa"/>
              <w:start w:w="90" w:type="dxa"/>
              <w:bottom w:w="90" w:type="dxa"/>
              <w:end w:w="90" w:type="dxa"/>
            </w:tcMar>
            <w:vAlign w:val="center"/>
          </w:tcPr>
          <w:p>
            <w:pPr>
              <w:jc w:val="center"/>
            </w:pPr>
            <w:r>
              <w:rPr>
                <w:rFonts w:ascii="Aptos" w:hAnsi="Aptos"/>
                <w:b/>
                <w:color w:val="FFFFFF"/>
                <w:sz w:val="17"/>
              </w:rPr>
              <w:t>Categoria rara</w:t>
            </w:r>
          </w:p>
        </w:tc>
        <w:tc>
          <w:tcPr>
            <w:tcW w:type="dxa" w:w="1728"/>
            <w:shd w:fill="1F4E78"/>
            <w:tcMar>
              <w:top w:w="90" w:type="dxa"/>
              <w:start w:w="90" w:type="dxa"/>
              <w:bottom w:w="90" w:type="dxa"/>
              <w:end w:w="90" w:type="dxa"/>
            </w:tcMar>
            <w:vAlign w:val="center"/>
          </w:tcPr>
          <w:p>
            <w:pPr>
              <w:jc w:val="center"/>
            </w:pPr>
            <w:r>
              <w:rPr>
                <w:rFonts w:ascii="Aptos" w:hAnsi="Aptos"/>
                <w:b/>
                <w:color w:val="FFFFFF"/>
                <w:sz w:val="17"/>
              </w:rPr>
              <w:t>Clientes</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 dos clientes</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Proprietário de Restaurante</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3</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0,91%</w:t>
            </w:r>
          </w:p>
        </w:tc>
      </w:tr>
      <w:tr>
        <w:tc>
          <w:tcPr>
            <w:tcW w:type="dxa" w:w="51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Servidor Público Aposentado</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0,61%</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Dono de Mercado</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1</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0,30%</w:t>
            </w:r>
          </w:p>
        </w:tc>
      </w:tr>
      <w:tr>
        <w:tc>
          <w:tcPr>
            <w:tcW w:type="dxa" w:w="5184"/>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Microempreendedor</w:t>
            </w:r>
          </w:p>
        </w:tc>
        <w:tc>
          <w:tcPr>
            <w:tcW w:type="dxa" w:w="1728"/>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0,30%</w:t>
            </w:r>
          </w:p>
        </w:tc>
      </w:tr>
      <w:tr>
        <w:tc>
          <w:tcPr>
            <w:tcW w:type="dxa" w:w="5184"/>
            <w:tcMar>
              <w:top w:w="90" w:type="dxa"/>
              <w:start w:w="90" w:type="dxa"/>
              <w:bottom w:w="90" w:type="dxa"/>
              <w:end w:w="90" w:type="dxa"/>
            </w:tcMar>
            <w:vAlign w:val="center"/>
          </w:tcPr>
          <w:p>
            <w:pPr>
              <w:spacing w:after="0" w:line="240" w:lineRule="auto"/>
              <w:jc w:val="left"/>
            </w:pPr>
            <w:r>
              <w:rPr>
                <w:rFonts w:ascii="Aptos" w:hAnsi="Aptos"/>
                <w:color w:val="000000"/>
                <w:sz w:val="17"/>
              </w:rPr>
              <w:t>Sócio de Startup</w:t>
            </w:r>
          </w:p>
        </w:tc>
        <w:tc>
          <w:tcPr>
            <w:tcW w:type="dxa" w:w="1728"/>
            <w:tcMar>
              <w:top w:w="90" w:type="dxa"/>
              <w:start w:w="90" w:type="dxa"/>
              <w:bottom w:w="90" w:type="dxa"/>
              <w:end w:w="90" w:type="dxa"/>
            </w:tcMar>
            <w:vAlign w:val="center"/>
          </w:tcPr>
          <w:p>
            <w:pPr>
              <w:spacing w:after="0" w:line="240" w:lineRule="auto"/>
              <w:jc w:val="center"/>
            </w:pPr>
            <w:r>
              <w:rPr>
                <w:rFonts w:ascii="Aptos" w:hAnsi="Aptos"/>
                <w:color w:val="000000"/>
                <w:sz w:val="17"/>
              </w:rPr>
              <w:t>1</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0,30%</w:t>
            </w:r>
          </w:p>
        </w:tc>
      </w:tr>
    </w:tbl>
    <w:p>
      <w:pPr>
        <w:spacing w:after="20"/>
      </w:pPr>
    </w:p>
    <w:p>
      <w:r>
        <w:t>Categorias raras devem ser preservadas, mas agrupamentos e comparações inferenciais precisam sinalizar amostra pequena para evitar conclusões instáveis.</w:t>
      </w:r>
    </w:p>
    <w:p>
      <w:pPr>
        <w:pStyle w:val="Question"/>
        <w:keepNext/>
      </w:pPr>
      <w:r>
        <w:rPr>
          <w:rFonts w:ascii="Aptos" w:hAnsi="Aptos"/>
          <w:b/>
          <w:color w:val="000000"/>
          <w:sz w:val="24"/>
        </w:rPr>
        <w:t>48. A distribuição de gênero, escolaridade, estado civil e situação profissional é equilibrada?</w:t>
      </w:r>
    </w:p>
    <w:p>
      <w:r>
        <w:t>O equilíbrio é parcial. Masculino e Feminino apresentam participações próximas, enquanto Outro representa apenas 2,42%. Escolaridade concentra 53,94% dos clientes entre Ensino Médio Completo e Ensino Superior Completo. Estado civil concentra 82,42% em Solteiro e Casado, e situação profissional concentra 53,64% em Empregado. Portanto, os dois primeiros atributos permitem comparações amplas, mas categorias pequenas precisam de ressalva amostral.</w:t>
      </w:r>
    </w:p>
    <w:p>
      <w:pPr>
        <w:pStyle w:val="Question"/>
        <w:keepNext/>
      </w:pPr>
      <w:r>
        <w:rPr>
          <w:rFonts w:ascii="Aptos" w:hAnsi="Aptos"/>
          <w:b/>
          <w:color w:val="000000"/>
          <w:sz w:val="24"/>
        </w:rPr>
        <w:t>49. Como os clientes estão distribuídos geograficamente?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4320"/>
            <w:shd w:fill="1F4E78"/>
            <w:tcMar>
              <w:top w:w="90" w:type="dxa"/>
              <w:start w:w="90" w:type="dxa"/>
              <w:bottom w:w="90" w:type="dxa"/>
              <w:end w:w="90" w:type="dxa"/>
            </w:tcMar>
            <w:vAlign w:val="center"/>
          </w:tcPr>
          <w:p>
            <w:pPr>
              <w:jc w:val="center"/>
            </w:pPr>
            <w:r>
              <w:rPr>
                <w:rFonts w:ascii="Aptos" w:hAnsi="Aptos"/>
                <w:b/>
                <w:color w:val="FFFFFF"/>
                <w:sz w:val="17"/>
              </w:rPr>
              <w:t>Região</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Clientes</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Sudeste</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161</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48,79%</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Sul</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70</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21,21%</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Nordeste</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53</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16,06%</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Centro-Oeste</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35</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10,61%</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Norte</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11</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3,33%</w:t>
            </w:r>
          </w:p>
        </w:tc>
      </w:tr>
    </w:tbl>
    <w:p>
      <w:pPr>
        <w:spacing w:after="20"/>
      </w:pPr>
    </w:p>
    <w:p>
      <w:r>
        <w:t>SP concentra 95 clientes (28,79%) e a cidade de São Paulo, 62 (18,79%). Em seguida aparecem RJ, com 33 clientes, MG, com 28, PR, com 26, e RS, com 25. A distribuição é nacional, porém fortemente concentrada no Sudeste; o Norte possui apenas 11 clientes e requer cautela comparativa.</w:t>
      </w:r>
    </w:p>
    <w:p>
      <w:pPr>
        <w:spacing w:before="40" w:after="160"/>
      </w:pPr>
      <w:r>
        <w:rPr>
          <w:rFonts w:ascii="Aptos" w:hAnsi="Aptos"/>
          <w:b/>
          <w:color w:val="404040"/>
          <w:sz w:val="18"/>
        </w:rPr>
        <w:t xml:space="preserve">Fonte e método: </w:t>
      </w:r>
      <w:r>
        <w:rPr>
          <w:rFonts w:ascii="Aptos" w:hAnsi="Aptos"/>
          <w:color w:val="404040"/>
          <w:sz w:val="18"/>
        </w:rPr>
        <w:t>dim_cliente e dim_geografia; percentuais calculados sobre 330 clientes.</w:t>
      </w:r>
    </w:p>
    <w:p>
      <w:pPr>
        <w:pStyle w:val="Question"/>
        <w:keepNext/>
      </w:pPr>
      <w:r>
        <w:rPr>
          <w:rFonts w:ascii="Aptos" w:hAnsi="Aptos"/>
          <w:b/>
          <w:color w:val="000000"/>
          <w:sz w:val="24"/>
        </w:rPr>
        <w:t>50. A distribuição do catálogo é diferente da distribuição dos produtos efetivamente vendidos?</w:t>
      </w:r>
    </w:p>
    <w:p>
      <w:r>
        <w:t>Sim. Todos os 36 produtos do catálogo foram vendidos, portanto não existem itens sem movimentação. Entretanto, a composição da receita é muito diferente da participação de produtos no catálogo. Sazonal representa 8,33% dos produtos, mas 30,78% da receita; Café também possui 8,33% dos produtos e gera 17,07% da receita.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2448"/>
            <w:shd w:fill="1F4E78"/>
            <w:tcMar>
              <w:top w:w="90" w:type="dxa"/>
              <w:start w:w="90" w:type="dxa"/>
              <w:bottom w:w="90" w:type="dxa"/>
              <w:end w:w="90" w:type="dxa"/>
            </w:tcMar>
            <w:vAlign w:val="center"/>
          </w:tcPr>
          <w:p>
            <w:pPr>
              <w:jc w:val="center"/>
            </w:pPr>
            <w:r>
              <w:rPr>
                <w:rFonts w:ascii="Aptos" w:hAnsi="Aptos"/>
                <w:b/>
                <w:color w:val="FFFFFF"/>
                <w:sz w:val="16"/>
              </w:rPr>
              <w:t>Categoria</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Produtos</w:t>
            </w:r>
          </w:p>
        </w:tc>
        <w:tc>
          <w:tcPr>
            <w:tcW w:type="dxa" w:w="1656"/>
            <w:shd w:fill="1F4E78"/>
            <w:tcMar>
              <w:top w:w="90" w:type="dxa"/>
              <w:start w:w="90" w:type="dxa"/>
              <w:bottom w:w="90" w:type="dxa"/>
              <w:end w:w="90" w:type="dxa"/>
            </w:tcMar>
            <w:vAlign w:val="center"/>
          </w:tcPr>
          <w:p>
            <w:pPr>
              <w:jc w:val="center"/>
            </w:pPr>
            <w:r>
              <w:rPr>
                <w:rFonts w:ascii="Aptos" w:hAnsi="Aptos"/>
                <w:b/>
                <w:color w:val="FFFFFF"/>
                <w:sz w:val="16"/>
              </w:rPr>
              <w:t>% do catálogo</w:t>
            </w:r>
          </w:p>
        </w:tc>
        <w:tc>
          <w:tcPr>
            <w:tcW w:type="dxa" w:w="2232"/>
            <w:shd w:fill="1F4E78"/>
            <w:tcMar>
              <w:top w:w="90" w:type="dxa"/>
              <w:start w:w="90" w:type="dxa"/>
              <w:bottom w:w="90" w:type="dxa"/>
              <w:end w:w="90" w:type="dxa"/>
            </w:tcMar>
            <w:vAlign w:val="center"/>
          </w:tcPr>
          <w:p>
            <w:pPr>
              <w:jc w:val="center"/>
            </w:pPr>
            <w:r>
              <w:rPr>
                <w:rFonts w:ascii="Aptos" w:hAnsi="Aptos"/>
                <w:b/>
                <w:color w:val="FFFFFF"/>
                <w:sz w:val="16"/>
              </w:rPr>
              <w:t>Receita</w:t>
            </w:r>
          </w:p>
        </w:tc>
        <w:tc>
          <w:tcPr>
            <w:tcW w:type="dxa" w:w="1656"/>
            <w:shd w:fill="1F4E78"/>
            <w:tcMar>
              <w:top w:w="90" w:type="dxa"/>
              <w:start w:w="90" w:type="dxa"/>
              <w:bottom w:w="90" w:type="dxa"/>
              <w:end w:w="90" w:type="dxa"/>
            </w:tcMar>
            <w:vAlign w:val="center"/>
          </w:tcPr>
          <w:p>
            <w:pPr>
              <w:jc w:val="center"/>
            </w:pPr>
            <w:r>
              <w:rPr>
                <w:rFonts w:ascii="Aptos" w:hAnsi="Aptos"/>
                <w:b/>
                <w:color w:val="FFFFFF"/>
                <w:sz w:val="16"/>
              </w:rPr>
              <w:t>% da receita</w:t>
            </w:r>
          </w:p>
        </w:tc>
      </w:tr>
      <w:tr>
        <w:tc>
          <w:tcPr>
            <w:tcW w:type="dxa" w:w="2448"/>
            <w:tcMar>
              <w:top w:w="90" w:type="dxa"/>
              <w:start w:w="90" w:type="dxa"/>
              <w:bottom w:w="90" w:type="dxa"/>
              <w:end w:w="90" w:type="dxa"/>
            </w:tcMar>
            <w:vAlign w:val="center"/>
          </w:tcPr>
          <w:p>
            <w:pPr>
              <w:spacing w:after="0" w:line="240" w:lineRule="auto"/>
              <w:jc w:val="left"/>
            </w:pPr>
            <w:r>
              <w:rPr>
                <w:rFonts w:ascii="Aptos" w:hAnsi="Aptos"/>
                <w:color w:val="000000"/>
                <w:sz w:val="16"/>
              </w:rPr>
              <w:t>Sazonal</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3</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8,33%</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R$ 89.223,51</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30,78%</w:t>
            </w:r>
          </w:p>
        </w:tc>
      </w:tr>
      <w:tr>
        <w:tc>
          <w:tcPr>
            <w:tcW w:type="dxa" w:w="244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Café</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8,33%</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R$ 49.491,64</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17,07%</w:t>
            </w:r>
          </w:p>
        </w:tc>
      </w:tr>
      <w:tr>
        <w:tc>
          <w:tcPr>
            <w:tcW w:type="dxa" w:w="2448"/>
            <w:tcMar>
              <w:top w:w="90" w:type="dxa"/>
              <w:start w:w="90" w:type="dxa"/>
              <w:bottom w:w="90" w:type="dxa"/>
              <w:end w:w="90" w:type="dxa"/>
            </w:tcMar>
            <w:vAlign w:val="center"/>
          </w:tcPr>
          <w:p>
            <w:pPr>
              <w:spacing w:after="0" w:line="240" w:lineRule="auto"/>
              <w:jc w:val="left"/>
            </w:pPr>
            <w:r>
              <w:rPr>
                <w:rFonts w:ascii="Aptos" w:hAnsi="Aptos"/>
                <w:color w:val="000000"/>
                <w:sz w:val="16"/>
              </w:rPr>
              <w:t>Bebidas</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3</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8,33%</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R$ 29.736,12</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10,26%</w:t>
            </w:r>
          </w:p>
        </w:tc>
      </w:tr>
      <w:tr>
        <w:tc>
          <w:tcPr>
            <w:tcW w:type="dxa" w:w="244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Chocolates</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8,33%</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R$ 21.961,34</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7,58%</w:t>
            </w:r>
          </w:p>
        </w:tc>
      </w:tr>
      <w:tr>
        <w:tc>
          <w:tcPr>
            <w:tcW w:type="dxa" w:w="2448"/>
            <w:tcMar>
              <w:top w:w="90" w:type="dxa"/>
              <w:start w:w="90" w:type="dxa"/>
              <w:bottom w:w="90" w:type="dxa"/>
              <w:end w:w="90" w:type="dxa"/>
            </w:tcMar>
            <w:vAlign w:val="center"/>
          </w:tcPr>
          <w:p>
            <w:pPr>
              <w:spacing w:after="0" w:line="240" w:lineRule="auto"/>
              <w:jc w:val="left"/>
            </w:pPr>
            <w:r>
              <w:rPr>
                <w:rFonts w:ascii="Aptos" w:hAnsi="Aptos"/>
                <w:color w:val="000000"/>
                <w:sz w:val="16"/>
              </w:rPr>
              <w:t>Temperos</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3</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8,33%</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R$ 17.531,37</w:t>
            </w:r>
          </w:p>
        </w:tc>
        <w:tc>
          <w:tcPr>
            <w:tcW w:type="dxa" w:w="1656"/>
            <w:tcMar>
              <w:top w:w="90" w:type="dxa"/>
              <w:start w:w="90" w:type="dxa"/>
              <w:bottom w:w="90" w:type="dxa"/>
              <w:end w:w="90" w:type="dxa"/>
            </w:tcMar>
            <w:vAlign w:val="center"/>
          </w:tcPr>
          <w:p>
            <w:pPr>
              <w:spacing w:after="0" w:line="240" w:lineRule="auto"/>
              <w:jc w:val="center"/>
            </w:pPr>
            <w:r>
              <w:rPr>
                <w:rFonts w:ascii="Aptos" w:hAnsi="Aptos"/>
                <w:color w:val="000000"/>
                <w:sz w:val="16"/>
              </w:rPr>
              <w:t>6,05%</w:t>
            </w:r>
          </w:p>
        </w:tc>
      </w:tr>
      <w:tr>
        <w:tc>
          <w:tcPr>
            <w:tcW w:type="dxa" w:w="244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Demais categorias</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21</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58,33%</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R$ 81.960,68</w:t>
            </w:r>
          </w:p>
        </w:tc>
        <w:tc>
          <w:tcPr>
            <w:tcW w:type="dxa" w:w="16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28,27%</w:t>
            </w:r>
          </w:p>
        </w:tc>
      </w:tr>
    </w:tbl>
    <w:p>
      <w:pPr>
        <w:spacing w:after="20"/>
      </w:pPr>
    </w:p>
    <w:p>
      <w:pPr>
        <w:spacing w:before="40" w:after="160"/>
      </w:pPr>
      <w:r>
        <w:rPr>
          <w:rFonts w:ascii="Aptos" w:hAnsi="Aptos"/>
          <w:b/>
          <w:color w:val="404040"/>
          <w:sz w:val="18"/>
        </w:rPr>
        <w:t xml:space="preserve">Fonte e método: </w:t>
      </w:r>
      <w:r>
        <w:rPr>
          <w:rFonts w:ascii="Aptos" w:hAnsi="Aptos"/>
          <w:color w:val="404040"/>
          <w:sz w:val="18"/>
        </w:rPr>
        <w:t>dim_produto e fato_item_pedido; comparação entre participação do catálogo e receita observada.</w:t>
      </w:r>
    </w:p>
    <w:p>
      <w:pPr>
        <w:pStyle w:val="Heading1"/>
      </w:pPr>
      <w:r>
        <w:t>Bloco 6 Relações iniciais entre perfil e comportamento</w:t>
      </w:r>
    </w:p>
    <w:p>
      <w:pPr>
        <w:pStyle w:val="Question"/>
        <w:keepNext/>
      </w:pPr>
      <w:r>
        <w:rPr>
          <w:rFonts w:ascii="Aptos" w:hAnsi="Aptos"/>
          <w:b/>
          <w:color w:val="000000"/>
          <w:sz w:val="24"/>
        </w:rPr>
        <w:t>51. A frequência de compra varia entre faixas etárias?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728"/>
            <w:shd w:fill="1F4E78"/>
            <w:tcMar>
              <w:top w:w="90" w:type="dxa"/>
              <w:start w:w="90" w:type="dxa"/>
              <w:bottom w:w="90" w:type="dxa"/>
              <w:end w:w="90" w:type="dxa"/>
            </w:tcMar>
            <w:vAlign w:val="center"/>
          </w:tcPr>
          <w:p>
            <w:pPr>
              <w:jc w:val="center"/>
            </w:pPr>
            <w:r>
              <w:rPr>
                <w:rFonts w:ascii="Aptos" w:hAnsi="Aptos"/>
                <w:b/>
                <w:color w:val="FFFFFF"/>
                <w:sz w:val="16"/>
              </w:rPr>
              <w:t>Faixa</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Clientes</w:t>
            </w:r>
          </w:p>
        </w:tc>
        <w:tc>
          <w:tcPr>
            <w:tcW w:type="dxa" w:w="1944"/>
            <w:shd w:fill="1F4E78"/>
            <w:tcMar>
              <w:top w:w="90" w:type="dxa"/>
              <w:start w:w="90" w:type="dxa"/>
              <w:bottom w:w="90" w:type="dxa"/>
              <w:end w:w="90" w:type="dxa"/>
            </w:tcMar>
            <w:vAlign w:val="center"/>
          </w:tcPr>
          <w:p>
            <w:pPr>
              <w:jc w:val="center"/>
            </w:pPr>
            <w:r>
              <w:rPr>
                <w:rFonts w:ascii="Aptos" w:hAnsi="Aptos"/>
                <w:b/>
                <w:color w:val="FFFFFF"/>
                <w:sz w:val="16"/>
              </w:rPr>
              <w:t>Pedidos médios</w:t>
            </w:r>
          </w:p>
        </w:tc>
        <w:tc>
          <w:tcPr>
            <w:tcW w:type="dxa" w:w="2232"/>
            <w:shd w:fill="1F4E78"/>
            <w:tcMar>
              <w:top w:w="90" w:type="dxa"/>
              <w:start w:w="90" w:type="dxa"/>
              <w:bottom w:w="90" w:type="dxa"/>
              <w:end w:w="90" w:type="dxa"/>
            </w:tcMar>
            <w:vAlign w:val="center"/>
          </w:tcPr>
          <w:p>
            <w:pPr>
              <w:jc w:val="center"/>
            </w:pPr>
            <w:r>
              <w:rPr>
                <w:rFonts w:ascii="Aptos" w:hAnsi="Aptos"/>
                <w:b/>
                <w:color w:val="FFFFFF"/>
                <w:sz w:val="16"/>
              </w:rPr>
              <w:t>Receita média</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Ticket</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6"/>
              </w:rPr>
              <w:t>16 a 24</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54</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6,67</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R$ 600,08</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R$ 93,55</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25 a 34</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66</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7,97</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R$ 727,19</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R$ 92,05</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6"/>
              </w:rPr>
              <w:t>35 a 44</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101</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8,84</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R$ 978,35</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R$ 105,68</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45 a 54</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9,83</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R$ 1.064,36</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R$ 109,94</w:t>
            </w:r>
          </w:p>
        </w:tc>
      </w:tr>
      <w:tr>
        <w:tc>
          <w:tcPr>
            <w:tcW w:type="dxa" w:w="1728"/>
            <w:tcMar>
              <w:top w:w="90" w:type="dxa"/>
              <w:start w:w="90" w:type="dxa"/>
              <w:bottom w:w="90" w:type="dxa"/>
              <w:end w:w="90" w:type="dxa"/>
            </w:tcMar>
            <w:vAlign w:val="center"/>
          </w:tcPr>
          <w:p>
            <w:pPr>
              <w:spacing w:after="0" w:line="240" w:lineRule="auto"/>
              <w:jc w:val="left"/>
            </w:pPr>
            <w:r>
              <w:rPr>
                <w:rFonts w:ascii="Aptos" w:hAnsi="Aptos"/>
                <w:color w:val="000000"/>
                <w:sz w:val="16"/>
              </w:rPr>
              <w:t>55 a 64</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29</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8,31</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R$ 973,21</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R$ 114,97</w:t>
            </w:r>
          </w:p>
        </w:tc>
      </w:tr>
      <w:tr>
        <w:tc>
          <w:tcPr>
            <w:tcW w:type="dxa" w:w="172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65 ou mais</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8,10</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R$ 796,34</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R$ 98,62</w:t>
            </w:r>
          </w:p>
        </w:tc>
      </w:tr>
    </w:tbl>
    <w:p>
      <w:pPr>
        <w:spacing w:after="20"/>
      </w:pPr>
    </w:p>
    <w:p>
      <w:r>
        <w:t>A frequência aumenta até 45 a 54 anos e depois recua. A diferença descritiva entre o maior e o menor grupo é de 3,16 pedidos por cliente, mas idade isoladamente apresenta correlação linear desprezível com frequência, como mostra a pergunta 56.</w:t>
      </w:r>
    </w:p>
    <w:p>
      <w:pPr>
        <w:pStyle w:val="Question"/>
        <w:keepNext/>
      </w:pPr>
      <w:r>
        <w:rPr>
          <w:rFonts w:ascii="Aptos" w:hAnsi="Aptos"/>
          <w:b/>
          <w:color w:val="000000"/>
          <w:sz w:val="24"/>
        </w:rPr>
        <w:t>52. O ticket médio varia entre os quartis de renda?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152"/>
            <w:shd w:fill="1F4E78"/>
            <w:tcMar>
              <w:top w:w="90" w:type="dxa"/>
              <w:start w:w="90" w:type="dxa"/>
              <w:bottom w:w="90" w:type="dxa"/>
              <w:end w:w="90" w:type="dxa"/>
            </w:tcMar>
            <w:vAlign w:val="center"/>
          </w:tcPr>
          <w:p>
            <w:pPr>
              <w:jc w:val="center"/>
            </w:pPr>
            <w:r>
              <w:rPr>
                <w:rFonts w:ascii="Aptos" w:hAnsi="Aptos"/>
                <w:b/>
                <w:color w:val="FFFFFF"/>
                <w:sz w:val="16"/>
              </w:rPr>
              <w:t>Quartil</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Clientes</w:t>
            </w:r>
          </w:p>
        </w:tc>
        <w:tc>
          <w:tcPr>
            <w:tcW w:type="dxa" w:w="3888"/>
            <w:shd w:fill="1F4E78"/>
            <w:tcMar>
              <w:top w:w="90" w:type="dxa"/>
              <w:start w:w="90" w:type="dxa"/>
              <w:bottom w:w="90" w:type="dxa"/>
              <w:end w:w="90" w:type="dxa"/>
            </w:tcMar>
            <w:vAlign w:val="center"/>
          </w:tcPr>
          <w:p>
            <w:pPr>
              <w:jc w:val="center"/>
            </w:pPr>
            <w:r>
              <w:rPr>
                <w:rFonts w:ascii="Aptos" w:hAnsi="Aptos"/>
                <w:b/>
                <w:color w:val="FFFFFF"/>
                <w:sz w:val="16"/>
              </w:rPr>
              <w:t>Faixa de renda</w:t>
            </w:r>
          </w:p>
        </w:tc>
        <w:tc>
          <w:tcPr>
            <w:tcW w:type="dxa" w:w="1872"/>
            <w:shd w:fill="1F4E78"/>
            <w:tcMar>
              <w:top w:w="90" w:type="dxa"/>
              <w:start w:w="90" w:type="dxa"/>
              <w:bottom w:w="90" w:type="dxa"/>
              <w:end w:w="90" w:type="dxa"/>
            </w:tcMar>
            <w:vAlign w:val="center"/>
          </w:tcPr>
          <w:p>
            <w:pPr>
              <w:jc w:val="center"/>
            </w:pPr>
            <w:r>
              <w:rPr>
                <w:rFonts w:ascii="Aptos" w:hAnsi="Aptos"/>
                <w:b/>
                <w:color w:val="FFFFFF"/>
                <w:sz w:val="16"/>
              </w:rPr>
              <w:t>Ticket médio</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Pedidos médios</w:t>
            </w:r>
          </w:p>
        </w:tc>
      </w:tr>
      <w:tr>
        <w:tc>
          <w:tcPr>
            <w:tcW w:type="dxa" w:w="1152"/>
            <w:tcMar>
              <w:top w:w="90" w:type="dxa"/>
              <w:start w:w="90" w:type="dxa"/>
              <w:bottom w:w="90" w:type="dxa"/>
              <w:end w:w="90" w:type="dxa"/>
            </w:tcMar>
            <w:vAlign w:val="center"/>
          </w:tcPr>
          <w:p>
            <w:pPr>
              <w:spacing w:after="0" w:line="240" w:lineRule="auto"/>
              <w:jc w:val="left"/>
            </w:pPr>
            <w:r>
              <w:rPr>
                <w:rFonts w:ascii="Aptos" w:hAnsi="Aptos"/>
                <w:color w:val="000000"/>
                <w:sz w:val="16"/>
              </w:rPr>
              <w:t>Q1</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83</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R$ 0 a R$ 2.060,71</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6"/>
              </w:rPr>
              <w:t>R$ 86,25</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7,18</w:t>
            </w:r>
          </w:p>
        </w:tc>
      </w:tr>
      <w:tr>
        <w:tc>
          <w:tcPr>
            <w:tcW w:type="dxa" w:w="115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Q2</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82</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R$ 2.118,69 a R$ 4.916,39</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R$ 109,91</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7,62</w:t>
            </w:r>
          </w:p>
        </w:tc>
      </w:tr>
      <w:tr>
        <w:tc>
          <w:tcPr>
            <w:tcW w:type="dxa" w:w="1152"/>
            <w:tcMar>
              <w:top w:w="90" w:type="dxa"/>
              <w:start w:w="90" w:type="dxa"/>
              <w:bottom w:w="90" w:type="dxa"/>
              <w:end w:w="90" w:type="dxa"/>
            </w:tcMar>
            <w:vAlign w:val="center"/>
          </w:tcPr>
          <w:p>
            <w:pPr>
              <w:spacing w:after="0" w:line="240" w:lineRule="auto"/>
              <w:jc w:val="left"/>
            </w:pPr>
            <w:r>
              <w:rPr>
                <w:rFonts w:ascii="Aptos" w:hAnsi="Aptos"/>
                <w:color w:val="000000"/>
                <w:sz w:val="16"/>
              </w:rPr>
              <w:t>Q3</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82</w:t>
            </w:r>
          </w:p>
        </w:tc>
        <w:tc>
          <w:tcPr>
            <w:tcW w:type="dxa" w:w="3888"/>
            <w:tcMar>
              <w:top w:w="90" w:type="dxa"/>
              <w:start w:w="90" w:type="dxa"/>
              <w:bottom w:w="90" w:type="dxa"/>
              <w:end w:w="90" w:type="dxa"/>
            </w:tcMar>
            <w:vAlign w:val="center"/>
          </w:tcPr>
          <w:p>
            <w:pPr>
              <w:spacing w:after="0" w:line="240" w:lineRule="auto"/>
              <w:jc w:val="center"/>
            </w:pPr>
            <w:r>
              <w:rPr>
                <w:rFonts w:ascii="Aptos" w:hAnsi="Aptos"/>
                <w:color w:val="000000"/>
                <w:sz w:val="16"/>
              </w:rPr>
              <w:t>R$ 5.038,58 a R$ 10.345,58</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6"/>
              </w:rPr>
              <w:t>R$ 101,68</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9,16</w:t>
            </w:r>
          </w:p>
        </w:tc>
      </w:tr>
      <w:tr>
        <w:tc>
          <w:tcPr>
            <w:tcW w:type="dxa" w:w="115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Q4</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83</w:t>
            </w:r>
          </w:p>
        </w:tc>
        <w:tc>
          <w:tcPr>
            <w:tcW w:type="dxa" w:w="388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R$ 10.374,95 a R$ 34.679,07</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R$ 112,15</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9,84</w:t>
            </w:r>
          </w:p>
        </w:tc>
      </w:tr>
    </w:tbl>
    <w:p>
      <w:pPr>
        <w:spacing w:after="20"/>
      </w:pPr>
    </w:p>
    <w:p>
      <w:r>
        <w:t>Q4 apresenta ticket 30,03% superior ao Q1. Contudo, o comportamento não é monotônico, pois Q2 supera Q3; por isso, renda não explica sozinha o ticket.</w:t>
      </w:r>
    </w:p>
    <w:p>
      <w:r>
        <w:br w:type="page"/>
      </w:r>
    </w:p>
    <w:p>
      <w:pPr>
        <w:pStyle w:val="Question"/>
        <w:keepNext/>
      </w:pPr>
      <w:r>
        <w:rPr>
          <w:rFonts w:ascii="Aptos" w:hAnsi="Aptos"/>
          <w:b/>
          <w:color w:val="000000"/>
          <w:sz w:val="24"/>
        </w:rPr>
        <w:t>53. A receita média por cliente varia por gênero ou escolaridade?</w:t>
      </w:r>
    </w:p>
    <w:p>
      <w:r>
        <w:t>Entre Masculino e Feminino, a receita média é praticamente igual: R$ 892,92 e R$ 891,35. Outro apresenta R$ 327,87, mas possui somente oito clientes. Por escolaridade, Mestrado alcança R$ 1.466,52 e Doutorado R$ 1.004,08, porém com 14 e oito clientes, respectivamente. Entre grupos maiores, Ensino Médio Completo registra R$ 947,02 e Ensino Superior Completo, R$ 888,71. As diferenças são descritivas e não estabelecem efeito causal da escolaridade.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944"/>
            <w:shd w:fill="1F4E78"/>
            <w:tcMar>
              <w:top w:w="90" w:type="dxa"/>
              <w:start w:w="90" w:type="dxa"/>
              <w:bottom w:w="90" w:type="dxa"/>
              <w:end w:w="90" w:type="dxa"/>
            </w:tcMar>
            <w:vAlign w:val="center"/>
          </w:tcPr>
          <w:p>
            <w:pPr>
              <w:jc w:val="center"/>
            </w:pPr>
            <w:r>
              <w:rPr>
                <w:rFonts w:ascii="Aptos" w:hAnsi="Aptos"/>
                <w:b/>
                <w:color w:val="FFFFFF"/>
                <w:sz w:val="16"/>
              </w:rPr>
              <w:t>Dimensão</w:t>
            </w:r>
          </w:p>
        </w:tc>
        <w:tc>
          <w:tcPr>
            <w:tcW w:type="dxa" w:w="3456"/>
            <w:shd w:fill="1F4E78"/>
            <w:tcMar>
              <w:top w:w="90" w:type="dxa"/>
              <w:start w:w="90" w:type="dxa"/>
              <w:bottom w:w="90" w:type="dxa"/>
              <w:end w:w="90" w:type="dxa"/>
            </w:tcMar>
            <w:vAlign w:val="center"/>
          </w:tcPr>
          <w:p>
            <w:pPr>
              <w:jc w:val="center"/>
            </w:pPr>
            <w:r>
              <w:rPr>
                <w:rFonts w:ascii="Aptos" w:hAnsi="Aptos"/>
                <w:b/>
                <w:color w:val="FFFFFF"/>
                <w:sz w:val="16"/>
              </w:rPr>
              <w:t>Grupo</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Clientes</w:t>
            </w:r>
          </w:p>
        </w:tc>
        <w:tc>
          <w:tcPr>
            <w:tcW w:type="dxa" w:w="1944"/>
            <w:shd w:fill="1F4E78"/>
            <w:tcMar>
              <w:top w:w="90" w:type="dxa"/>
              <w:start w:w="90" w:type="dxa"/>
              <w:bottom w:w="90" w:type="dxa"/>
              <w:end w:w="90" w:type="dxa"/>
            </w:tcMar>
            <w:vAlign w:val="center"/>
          </w:tcPr>
          <w:p>
            <w:pPr>
              <w:jc w:val="center"/>
            </w:pPr>
            <w:r>
              <w:rPr>
                <w:rFonts w:ascii="Aptos" w:hAnsi="Aptos"/>
                <w:b/>
                <w:color w:val="FFFFFF"/>
                <w:sz w:val="16"/>
              </w:rPr>
              <w:t>Receita média</w:t>
            </w:r>
          </w:p>
        </w:tc>
        <w:tc>
          <w:tcPr>
            <w:tcW w:type="dxa" w:w="1584"/>
            <w:shd w:fill="1F4E78"/>
            <w:tcMar>
              <w:top w:w="90" w:type="dxa"/>
              <w:start w:w="90" w:type="dxa"/>
              <w:bottom w:w="90" w:type="dxa"/>
              <w:end w:w="90" w:type="dxa"/>
            </w:tcMar>
            <w:vAlign w:val="center"/>
          </w:tcPr>
          <w:p>
            <w:pPr>
              <w:jc w:val="center"/>
            </w:pPr>
            <w:r>
              <w:rPr>
                <w:rFonts w:ascii="Aptos" w:hAnsi="Aptos"/>
                <w:b/>
                <w:color w:val="FFFFFF"/>
                <w:sz w:val="16"/>
              </w:rPr>
              <w:t>Ticket</w:t>
            </w:r>
          </w:p>
        </w:tc>
      </w:tr>
      <w:tr>
        <w:tc>
          <w:tcPr>
            <w:tcW w:type="dxa" w:w="1944"/>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6"/>
              </w:rPr>
              <w:t>Masculino</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170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R$ 892,92</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R$ 105,16</w:t>
            </w:r>
          </w:p>
        </w:tc>
      </w:tr>
      <w:tr>
        <w:tc>
          <w:tcPr>
            <w:tcW w:type="dxa" w:w="194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Feminino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152</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R$ 891,35</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R$ 100,04</w:t>
            </w:r>
          </w:p>
        </w:tc>
      </w:tr>
      <w:tr>
        <w:tc>
          <w:tcPr>
            <w:tcW w:type="dxa" w:w="1944"/>
            <w:tcMar>
              <w:top w:w="90" w:type="dxa"/>
              <w:start w:w="90" w:type="dxa"/>
              <w:bottom w:w="90" w:type="dxa"/>
              <w:end w:w="90" w:type="dxa"/>
            </w:tcMar>
            <w:vAlign w:val="center"/>
          </w:tcPr>
          <w:p>
            <w:pPr>
              <w:spacing w:after="0" w:line="240" w:lineRule="auto"/>
              <w:jc w:val="left"/>
            </w:pPr>
            <w:r>
              <w:rPr>
                <w:rFonts w:ascii="Aptos" w:hAnsi="Aptos"/>
                <w:color w:val="000000"/>
                <w:sz w:val="16"/>
              </w:rPr>
              <w:t>Gênero</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6"/>
              </w:rPr>
              <w:t>Outro</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8</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R$ 327,87</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R$ 91,56</w:t>
            </w:r>
          </w:p>
        </w:tc>
      </w:tr>
      <w:tr>
        <w:tc>
          <w:tcPr>
            <w:tcW w:type="dxa" w:w="194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Mestrado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14</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R$ 1.466,52</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R$ 161,75</w:t>
            </w:r>
          </w:p>
        </w:tc>
      </w:tr>
      <w:tr>
        <w:tc>
          <w:tcPr>
            <w:tcW w:type="dxa" w:w="1944"/>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6"/>
              </w:rPr>
              <w:t>Ensino Médio Completo</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90</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R$ 947,02</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R$ 108,14</w:t>
            </w:r>
          </w:p>
        </w:tc>
      </w:tr>
      <w:tr>
        <w:tc>
          <w:tcPr>
            <w:tcW w:type="dxa" w:w="194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Escolaridade</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Ensino Superior Completo</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88</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R$ 888,71</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R$ 96,64</w:t>
            </w:r>
          </w:p>
        </w:tc>
      </w:tr>
    </w:tbl>
    <w:p>
      <w:pPr>
        <w:spacing w:after="20"/>
      </w:pPr>
    </w:p>
    <w:p>
      <w:pPr>
        <w:pStyle w:val="Question"/>
        <w:keepNext/>
      </w:pPr>
      <w:r>
        <w:rPr>
          <w:rFonts w:ascii="Aptos" w:hAnsi="Aptos"/>
          <w:b/>
          <w:color w:val="000000"/>
          <w:sz w:val="24"/>
        </w:rPr>
        <w:t>54. Clientes de diferentes regiões apresentam comportamentos distintos?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872"/>
            <w:shd w:fill="1F4E78"/>
            <w:tcMar>
              <w:top w:w="90" w:type="dxa"/>
              <w:start w:w="90" w:type="dxa"/>
              <w:bottom w:w="90" w:type="dxa"/>
              <w:end w:w="90" w:type="dxa"/>
            </w:tcMar>
            <w:vAlign w:val="center"/>
          </w:tcPr>
          <w:p>
            <w:pPr>
              <w:jc w:val="center"/>
            </w:pPr>
            <w:r>
              <w:rPr>
                <w:rFonts w:ascii="Aptos" w:hAnsi="Aptos"/>
                <w:b/>
                <w:color w:val="FFFFFF"/>
                <w:sz w:val="16"/>
              </w:rPr>
              <w:t>Região</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Clientes</w:t>
            </w:r>
          </w:p>
        </w:tc>
        <w:tc>
          <w:tcPr>
            <w:tcW w:type="dxa" w:w="1944"/>
            <w:shd w:fill="1F4E78"/>
            <w:tcMar>
              <w:top w:w="90" w:type="dxa"/>
              <w:start w:w="90" w:type="dxa"/>
              <w:bottom w:w="90" w:type="dxa"/>
              <w:end w:w="90" w:type="dxa"/>
            </w:tcMar>
            <w:vAlign w:val="center"/>
          </w:tcPr>
          <w:p>
            <w:pPr>
              <w:jc w:val="center"/>
            </w:pPr>
            <w:r>
              <w:rPr>
                <w:rFonts w:ascii="Aptos" w:hAnsi="Aptos"/>
                <w:b/>
                <w:color w:val="FFFFFF"/>
                <w:sz w:val="16"/>
              </w:rPr>
              <w:t>Pedidos médios</w:t>
            </w:r>
          </w:p>
        </w:tc>
        <w:tc>
          <w:tcPr>
            <w:tcW w:type="dxa" w:w="2232"/>
            <w:shd w:fill="1F4E78"/>
            <w:tcMar>
              <w:top w:w="90" w:type="dxa"/>
              <w:start w:w="90" w:type="dxa"/>
              <w:bottom w:w="90" w:type="dxa"/>
              <w:end w:w="90" w:type="dxa"/>
            </w:tcMar>
            <w:vAlign w:val="center"/>
          </w:tcPr>
          <w:p>
            <w:pPr>
              <w:jc w:val="center"/>
            </w:pPr>
            <w:r>
              <w:rPr>
                <w:rFonts w:ascii="Aptos" w:hAnsi="Aptos"/>
                <w:b/>
                <w:color w:val="FFFFFF"/>
                <w:sz w:val="16"/>
              </w:rPr>
              <w:t>Receita média</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Ticket</w:t>
            </w:r>
          </w:p>
        </w:tc>
      </w:tr>
      <w:tr>
        <w:tc>
          <w:tcPr>
            <w:tcW w:type="dxa" w:w="1872"/>
            <w:tcMar>
              <w:top w:w="90" w:type="dxa"/>
              <w:start w:w="90" w:type="dxa"/>
              <w:bottom w:w="90" w:type="dxa"/>
              <w:end w:w="90" w:type="dxa"/>
            </w:tcMar>
            <w:vAlign w:val="center"/>
          </w:tcPr>
          <w:p>
            <w:pPr>
              <w:spacing w:after="0" w:line="240" w:lineRule="auto"/>
              <w:jc w:val="left"/>
            </w:pPr>
            <w:r>
              <w:rPr>
                <w:rFonts w:ascii="Aptos" w:hAnsi="Aptos"/>
                <w:color w:val="000000"/>
                <w:sz w:val="16"/>
              </w:rPr>
              <w:t>Sudeste</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161</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8,01</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R$ 889,73</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R$ 112,34</w:t>
            </w:r>
          </w:p>
        </w:tc>
      </w:tr>
      <w:tr>
        <w:tc>
          <w:tcPr>
            <w:tcW w:type="dxa" w:w="187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Sul</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70</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8,49</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R$ 802,94</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R$ 95,60</w:t>
            </w:r>
          </w:p>
        </w:tc>
      </w:tr>
      <w:tr>
        <w:tc>
          <w:tcPr>
            <w:tcW w:type="dxa" w:w="1872"/>
            <w:tcMar>
              <w:top w:w="90" w:type="dxa"/>
              <w:start w:w="90" w:type="dxa"/>
              <w:bottom w:w="90" w:type="dxa"/>
              <w:end w:w="90" w:type="dxa"/>
            </w:tcMar>
            <w:vAlign w:val="center"/>
          </w:tcPr>
          <w:p>
            <w:pPr>
              <w:spacing w:after="0" w:line="240" w:lineRule="auto"/>
              <w:jc w:val="left"/>
            </w:pPr>
            <w:r>
              <w:rPr>
                <w:rFonts w:ascii="Aptos" w:hAnsi="Aptos"/>
                <w:color w:val="000000"/>
                <w:sz w:val="16"/>
              </w:rPr>
              <w:t>Nordeste</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53</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7,85</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R$ 660,47</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R$ 80,34</w:t>
            </w:r>
          </w:p>
        </w:tc>
      </w:tr>
      <w:tr>
        <w:tc>
          <w:tcPr>
            <w:tcW w:type="dxa" w:w="1872"/>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Centro-Oeste</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35</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8,06</w:t>
            </w:r>
          </w:p>
        </w:tc>
        <w:tc>
          <w:tcPr>
            <w:tcW w:type="dxa" w:w="223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R$ 1.011,52</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R$ 102,19</w:t>
            </w:r>
          </w:p>
        </w:tc>
      </w:tr>
      <w:tr>
        <w:tc>
          <w:tcPr>
            <w:tcW w:type="dxa" w:w="1872"/>
            <w:tcMar>
              <w:top w:w="90" w:type="dxa"/>
              <w:start w:w="90" w:type="dxa"/>
              <w:bottom w:w="90" w:type="dxa"/>
              <w:end w:w="90" w:type="dxa"/>
            </w:tcMar>
            <w:vAlign w:val="center"/>
          </w:tcPr>
          <w:p>
            <w:pPr>
              <w:spacing w:after="0" w:line="240" w:lineRule="auto"/>
              <w:jc w:val="left"/>
            </w:pPr>
            <w:r>
              <w:rPr>
                <w:rFonts w:ascii="Aptos" w:hAnsi="Aptos"/>
                <w:color w:val="000000"/>
                <w:sz w:val="16"/>
              </w:rPr>
              <w:t>Norte</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11</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18,91</w:t>
            </w:r>
          </w:p>
        </w:tc>
        <w:tc>
          <w:tcPr>
            <w:tcW w:type="dxa" w:w="2232"/>
            <w:tcMar>
              <w:top w:w="90" w:type="dxa"/>
              <w:start w:w="90" w:type="dxa"/>
              <w:bottom w:w="90" w:type="dxa"/>
              <w:end w:w="90" w:type="dxa"/>
            </w:tcMar>
            <w:vAlign w:val="center"/>
          </w:tcPr>
          <w:p>
            <w:pPr>
              <w:spacing w:after="0" w:line="240" w:lineRule="auto"/>
              <w:jc w:val="center"/>
            </w:pPr>
            <w:r>
              <w:rPr>
                <w:rFonts w:ascii="Aptos" w:hAnsi="Aptos"/>
                <w:color w:val="000000"/>
                <w:sz w:val="16"/>
              </w:rPr>
              <w:t>R$ 1.822,19</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R$ 109,37</w:t>
            </w:r>
          </w:p>
        </w:tc>
      </w:tr>
    </w:tbl>
    <w:p>
      <w:pPr>
        <w:spacing w:after="20"/>
      </w:pPr>
    </w:p>
    <w:p>
      <w:r>
        <w:t>Existem diferenças descritivas, principalmente no Norte, mas esse resultado é influenciado por apenas 11 clientes. O Sudeste lidera em receita total devido ao maior número de clientes; Centro-Oeste apresenta a maior receita média entre as regiões com pelo menos 30 clientes.</w:t>
      </w:r>
    </w:p>
    <w:p>
      <w:pPr>
        <w:pStyle w:val="Question"/>
        <w:keepNext/>
      </w:pPr>
      <w:r>
        <w:rPr>
          <w:rFonts w:ascii="Aptos" w:hAnsi="Aptos"/>
          <w:b/>
          <w:color w:val="000000"/>
          <w:sz w:val="24"/>
        </w:rPr>
        <w:t>55. Renda está associada a ticket, frequência ou receita?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168"/>
            <w:shd w:fill="1F4E78"/>
            <w:tcMar>
              <w:top w:w="90" w:type="dxa"/>
              <w:start w:w="90" w:type="dxa"/>
              <w:bottom w:w="90" w:type="dxa"/>
              <w:end w:w="90" w:type="dxa"/>
            </w:tcMar>
            <w:vAlign w:val="center"/>
          </w:tcPr>
          <w:p>
            <w:pPr>
              <w:jc w:val="center"/>
            </w:pPr>
            <w:r>
              <w:rPr>
                <w:rFonts w:ascii="Aptos" w:hAnsi="Aptos"/>
                <w:b/>
                <w:color w:val="FFFFFF"/>
                <w:sz w:val="16"/>
              </w:rPr>
              <w:t>Relação</w:t>
            </w:r>
          </w:p>
        </w:tc>
        <w:tc>
          <w:tcPr>
            <w:tcW w:type="dxa" w:w="1584"/>
            <w:shd w:fill="1F4E78"/>
            <w:tcMar>
              <w:top w:w="90" w:type="dxa"/>
              <w:start w:w="90" w:type="dxa"/>
              <w:bottom w:w="90" w:type="dxa"/>
              <w:end w:w="90" w:type="dxa"/>
            </w:tcMar>
            <w:vAlign w:val="center"/>
          </w:tcPr>
          <w:p>
            <w:pPr>
              <w:jc w:val="center"/>
            </w:pPr>
            <w:r>
              <w:rPr>
                <w:rFonts w:ascii="Aptos" w:hAnsi="Aptos"/>
                <w:b/>
                <w:color w:val="FFFFFF"/>
                <w:sz w:val="16"/>
              </w:rPr>
              <w:t>Pearson r</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p-valor</w:t>
            </w:r>
          </w:p>
        </w:tc>
        <w:tc>
          <w:tcPr>
            <w:tcW w:type="dxa" w:w="3600"/>
            <w:shd w:fill="1F4E78"/>
            <w:tcMar>
              <w:top w:w="90" w:type="dxa"/>
              <w:start w:w="90" w:type="dxa"/>
              <w:bottom w:w="90" w:type="dxa"/>
              <w:end w:w="90" w:type="dxa"/>
            </w:tcMar>
            <w:vAlign w:val="center"/>
          </w:tcPr>
          <w:p>
            <w:pPr>
              <w:jc w:val="center"/>
            </w:pPr>
            <w:r>
              <w:rPr>
                <w:rFonts w:ascii="Aptos" w:hAnsi="Aptos"/>
                <w:b/>
                <w:color w:val="FFFFFF"/>
                <w:sz w:val="16"/>
              </w:rPr>
              <w:t>Leitura</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Renda e ticket</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0,099</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0,071</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6"/>
              </w:rPr>
              <w:t>Positiva e desprezível</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 e frequência</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0,077</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0,165</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Positiva e desprezível</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Renda e receita</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0,122</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0,027</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6"/>
              </w:rPr>
              <w:t>Positiva e fraca</w:t>
            </w:r>
          </w:p>
        </w:tc>
      </w:tr>
    </w:tbl>
    <w:p>
      <w:pPr>
        <w:spacing w:after="20"/>
      </w:pPr>
    </w:p>
    <w:p>
      <w:r>
        <w:t>Apenas renda e receita apresenta p-valor inferior a 0,05, mas a intensidade é muito pequena: r² é aproximadamente 1,49%. Assim, renda possui associação linear limitada e não deve ser usada isoladamente para explicar comportamento de compra.</w:t>
      </w:r>
    </w:p>
    <w:p>
      <w:pPr>
        <w:pStyle w:val="Question"/>
        <w:keepNext/>
      </w:pPr>
      <w:r>
        <w:rPr>
          <w:rFonts w:ascii="Aptos" w:hAnsi="Aptos"/>
          <w:b/>
          <w:color w:val="000000"/>
          <w:sz w:val="24"/>
        </w:rPr>
        <w:t>56. Idade está associada a frequência ou receita?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168"/>
            <w:shd w:fill="1F4E78"/>
            <w:tcMar>
              <w:top w:w="90" w:type="dxa"/>
              <w:start w:w="90" w:type="dxa"/>
              <w:bottom w:w="90" w:type="dxa"/>
              <w:end w:w="90" w:type="dxa"/>
            </w:tcMar>
            <w:vAlign w:val="center"/>
          </w:tcPr>
          <w:p>
            <w:pPr>
              <w:jc w:val="center"/>
            </w:pPr>
            <w:r>
              <w:rPr>
                <w:rFonts w:ascii="Aptos" w:hAnsi="Aptos"/>
                <w:b/>
                <w:color w:val="FFFFFF"/>
                <w:sz w:val="16"/>
              </w:rPr>
              <w:t>Relação</w:t>
            </w:r>
          </w:p>
        </w:tc>
        <w:tc>
          <w:tcPr>
            <w:tcW w:type="dxa" w:w="1584"/>
            <w:shd w:fill="1F4E78"/>
            <w:tcMar>
              <w:top w:w="90" w:type="dxa"/>
              <w:start w:w="90" w:type="dxa"/>
              <w:bottom w:w="90" w:type="dxa"/>
              <w:end w:w="90" w:type="dxa"/>
            </w:tcMar>
            <w:vAlign w:val="center"/>
          </w:tcPr>
          <w:p>
            <w:pPr>
              <w:jc w:val="center"/>
            </w:pPr>
            <w:r>
              <w:rPr>
                <w:rFonts w:ascii="Aptos" w:hAnsi="Aptos"/>
                <w:b/>
                <w:color w:val="FFFFFF"/>
                <w:sz w:val="16"/>
              </w:rPr>
              <w:t>Pearson r</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p-valor</w:t>
            </w:r>
          </w:p>
        </w:tc>
        <w:tc>
          <w:tcPr>
            <w:tcW w:type="dxa" w:w="3600"/>
            <w:shd w:fill="1F4E78"/>
            <w:tcMar>
              <w:top w:w="90" w:type="dxa"/>
              <w:start w:w="90" w:type="dxa"/>
              <w:bottom w:w="90" w:type="dxa"/>
              <w:end w:w="90" w:type="dxa"/>
            </w:tcMar>
            <w:vAlign w:val="center"/>
          </w:tcPr>
          <w:p>
            <w:pPr>
              <w:jc w:val="center"/>
            </w:pPr>
            <w:r>
              <w:rPr>
                <w:rFonts w:ascii="Aptos" w:hAnsi="Aptos"/>
                <w:b/>
                <w:color w:val="FFFFFF"/>
                <w:sz w:val="16"/>
              </w:rPr>
              <w:t>Leitura</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Idade e frequência</w:t>
            </w:r>
          </w:p>
        </w:tc>
        <w:tc>
          <w:tcPr>
            <w:tcW w:type="dxa" w:w="1584"/>
            <w:tcMar>
              <w:top w:w="90" w:type="dxa"/>
              <w:start w:w="90" w:type="dxa"/>
              <w:bottom w:w="90" w:type="dxa"/>
              <w:end w:w="90" w:type="dxa"/>
            </w:tcMar>
            <w:vAlign w:val="center"/>
          </w:tcPr>
          <w:p>
            <w:pPr>
              <w:spacing w:after="0" w:line="240" w:lineRule="auto"/>
              <w:jc w:val="center"/>
            </w:pPr>
            <w:r>
              <w:rPr>
                <w:rFonts w:ascii="Aptos" w:hAnsi="Aptos"/>
                <w:color w:val="000000"/>
                <w:sz w:val="16"/>
              </w:rPr>
              <w:t>0,056</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0,307</w:t>
            </w:r>
          </w:p>
        </w:tc>
        <w:tc>
          <w:tcPr>
            <w:tcW w:type="dxa" w:w="3600"/>
            <w:tcMar>
              <w:top w:w="90" w:type="dxa"/>
              <w:start w:w="90" w:type="dxa"/>
              <w:bottom w:w="90" w:type="dxa"/>
              <w:end w:w="90" w:type="dxa"/>
            </w:tcMar>
            <w:vAlign w:val="center"/>
          </w:tcPr>
          <w:p>
            <w:pPr>
              <w:spacing w:after="0" w:line="240" w:lineRule="auto"/>
              <w:jc w:val="center"/>
            </w:pPr>
            <w:r>
              <w:rPr>
                <w:rFonts w:ascii="Aptos" w:hAnsi="Aptos"/>
                <w:color w:val="000000"/>
                <w:sz w:val="16"/>
              </w:rPr>
              <w:t>Desprezível; sem evidência estatística</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Idade e receita</w:t>
            </w:r>
          </w:p>
        </w:tc>
        <w:tc>
          <w:tcPr>
            <w:tcW w:type="dxa" w:w="158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0,078</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0,159</w:t>
            </w:r>
          </w:p>
        </w:tc>
        <w:tc>
          <w:tcPr>
            <w:tcW w:type="dxa" w:w="36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Desprezível; sem evidência estatística</w:t>
            </w:r>
          </w:p>
        </w:tc>
      </w:tr>
    </w:tbl>
    <w:p>
      <w:pPr>
        <w:spacing w:after="20"/>
      </w:pPr>
    </w:p>
    <w:p>
      <w:r>
        <w:t>As diferenças vistas nas faixas etárias não formam uma relação linear relevante. Outros fatores e interações precisam ser considerados antes de segmentar clientes por idade.</w:t>
      </w:r>
    </w:p>
    <w:p>
      <w:pPr>
        <w:pStyle w:val="Question"/>
        <w:keepNext/>
      </w:pPr>
      <w:r>
        <w:rPr>
          <w:rFonts w:ascii="Aptos" w:hAnsi="Aptos"/>
          <w:b/>
          <w:color w:val="000000"/>
          <w:sz w:val="24"/>
        </w:rPr>
        <w:t>57. A categoria favorita observada varia conforme o perfil socioeconômico ou geográfico?</w:t>
      </w:r>
    </w:p>
    <w:p>
      <w:r>
        <w:t>Sim, principalmente entre quartis de renda. No Q1, Snacks lidera com 16 clientes (19,3%); no Q2, Bebidas lidera com 10 (12,2%); no Q3, Chocolates lidera com 12 (14,6%); e no Q4, Café lidera com 23 (27,7%). Por gênero, Chocolates permanece a categoria mais frequente em todos os grupos. Geograficamente, Chocolates lidera no Sudeste, Sul e Nordeste, enquanto Café lidera no Centro-Oeste e no Norte. Os resultados do Norte e de Gênero Outro devem ser tratados como exploratórios devido ao baixo 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1584"/>
            <w:shd w:fill="1F4E78"/>
            <w:tcMar>
              <w:top w:w="90" w:type="dxa"/>
              <w:start w:w="90" w:type="dxa"/>
              <w:bottom w:w="90" w:type="dxa"/>
              <w:end w:w="90" w:type="dxa"/>
            </w:tcMar>
            <w:vAlign w:val="center"/>
          </w:tcPr>
          <w:p>
            <w:pPr>
              <w:jc w:val="center"/>
            </w:pPr>
            <w:r>
              <w:rPr>
                <w:rFonts w:ascii="Aptos" w:hAnsi="Aptos"/>
                <w:b/>
                <w:color w:val="FFFFFF"/>
                <w:sz w:val="16"/>
              </w:rPr>
              <w:t>Recorte</w:t>
            </w:r>
          </w:p>
        </w:tc>
        <w:tc>
          <w:tcPr>
            <w:tcW w:type="dxa" w:w="1944"/>
            <w:shd w:fill="1F4E78"/>
            <w:tcMar>
              <w:top w:w="90" w:type="dxa"/>
              <w:start w:w="90" w:type="dxa"/>
              <w:bottom w:w="90" w:type="dxa"/>
              <w:end w:w="90" w:type="dxa"/>
            </w:tcMar>
            <w:vAlign w:val="center"/>
          </w:tcPr>
          <w:p>
            <w:pPr>
              <w:jc w:val="center"/>
            </w:pPr>
            <w:r>
              <w:rPr>
                <w:rFonts w:ascii="Aptos" w:hAnsi="Aptos"/>
                <w:b/>
                <w:color w:val="FFFFFF"/>
                <w:sz w:val="16"/>
              </w:rPr>
              <w:t>Grupo</w:t>
            </w:r>
          </w:p>
        </w:tc>
        <w:tc>
          <w:tcPr>
            <w:tcW w:type="dxa" w:w="3168"/>
            <w:shd w:fill="1F4E78"/>
            <w:tcMar>
              <w:top w:w="90" w:type="dxa"/>
              <w:start w:w="90" w:type="dxa"/>
              <w:bottom w:w="90" w:type="dxa"/>
              <w:end w:w="90" w:type="dxa"/>
            </w:tcMar>
            <w:vAlign w:val="center"/>
          </w:tcPr>
          <w:p>
            <w:pPr>
              <w:jc w:val="center"/>
            </w:pPr>
            <w:r>
              <w:rPr>
                <w:rFonts w:ascii="Aptos" w:hAnsi="Aptos"/>
                <w:b/>
                <w:color w:val="FFFFFF"/>
                <w:sz w:val="16"/>
              </w:rPr>
              <w:t>Favorita observada</w:t>
            </w:r>
          </w:p>
        </w:tc>
        <w:tc>
          <w:tcPr>
            <w:tcW w:type="dxa" w:w="1296"/>
            <w:shd w:fill="1F4E78"/>
            <w:tcMar>
              <w:top w:w="90" w:type="dxa"/>
              <w:start w:w="90" w:type="dxa"/>
              <w:bottom w:w="90" w:type="dxa"/>
              <w:end w:w="90" w:type="dxa"/>
            </w:tcMar>
            <w:vAlign w:val="center"/>
          </w:tcPr>
          <w:p>
            <w:pPr>
              <w:jc w:val="center"/>
            </w:pPr>
            <w:r>
              <w:rPr>
                <w:rFonts w:ascii="Aptos" w:hAnsi="Aptos"/>
                <w:b/>
                <w:color w:val="FFFFFF"/>
                <w:sz w:val="16"/>
              </w:rPr>
              <w:t>Clientes</w:t>
            </w:r>
          </w:p>
        </w:tc>
        <w:tc>
          <w:tcPr>
            <w:tcW w:type="dxa" w:w="1512"/>
            <w:shd w:fill="1F4E78"/>
            <w:tcMar>
              <w:top w:w="90" w:type="dxa"/>
              <w:start w:w="90" w:type="dxa"/>
              <w:bottom w:w="90" w:type="dxa"/>
              <w:end w:w="90" w:type="dxa"/>
            </w:tcMar>
            <w:vAlign w:val="center"/>
          </w:tcPr>
          <w:p>
            <w:pPr>
              <w:jc w:val="center"/>
            </w:pPr>
            <w:r>
              <w:rPr>
                <w:rFonts w:ascii="Aptos" w:hAnsi="Aptos"/>
                <w:b/>
                <w:color w:val="FFFFFF"/>
                <w:sz w:val="16"/>
              </w:rPr>
              <w:t>% do grupo</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6"/>
              </w:rPr>
              <w:t>Renda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Q1</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6"/>
              </w:rPr>
              <w:t>Snacks</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16</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19,3%</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Q2</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Bebidas</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12,2%</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6"/>
              </w:rPr>
              <w:t>Renda</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Q3</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6"/>
              </w:rPr>
              <w:t>Chocolates</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12</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14,6%</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Q4</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Café</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23</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27,7%</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6"/>
              </w:rPr>
              <w:t>Região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Sudeste</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6"/>
              </w:rPr>
              <w:t>Chocolates</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25</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15,5%</w:t>
            </w:r>
          </w:p>
        </w:tc>
      </w:tr>
      <w:tr>
        <w:tc>
          <w:tcPr>
            <w:tcW w:type="dxa" w:w="158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Região</w:t>
            </w:r>
          </w:p>
        </w:tc>
        <w:tc>
          <w:tcPr>
            <w:tcW w:type="dxa" w:w="1944"/>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Sul</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Chocolates</w:t>
            </w:r>
          </w:p>
        </w:tc>
        <w:tc>
          <w:tcPr>
            <w:tcW w:type="dxa" w:w="1296"/>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13</w:t>
            </w:r>
          </w:p>
        </w:tc>
        <w:tc>
          <w:tcPr>
            <w:tcW w:type="dxa" w:w="151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18,6%</w:t>
            </w:r>
          </w:p>
        </w:tc>
      </w:tr>
      <w:tr>
        <w:tc>
          <w:tcPr>
            <w:tcW w:type="dxa" w:w="1584"/>
            <w:tcMar>
              <w:top w:w="90" w:type="dxa"/>
              <w:start w:w="90" w:type="dxa"/>
              <w:bottom w:w="90" w:type="dxa"/>
              <w:end w:w="90" w:type="dxa"/>
            </w:tcMar>
            <w:vAlign w:val="center"/>
          </w:tcPr>
          <w:p>
            <w:pPr>
              <w:spacing w:after="0" w:line="240" w:lineRule="auto"/>
              <w:jc w:val="left"/>
            </w:pPr>
            <w:r>
              <w:rPr>
                <w:rFonts w:ascii="Aptos" w:hAnsi="Aptos"/>
                <w:color w:val="000000"/>
                <w:sz w:val="16"/>
              </w:rPr>
              <w:t>Região</w:t>
            </w:r>
          </w:p>
        </w:tc>
        <w:tc>
          <w:tcPr>
            <w:tcW w:type="dxa" w:w="1944"/>
            <w:tcMar>
              <w:top w:w="90" w:type="dxa"/>
              <w:start w:w="90" w:type="dxa"/>
              <w:bottom w:w="90" w:type="dxa"/>
              <w:end w:w="90" w:type="dxa"/>
            </w:tcMar>
            <w:vAlign w:val="center"/>
          </w:tcPr>
          <w:p>
            <w:pPr>
              <w:spacing w:after="0" w:line="240" w:lineRule="auto"/>
              <w:jc w:val="center"/>
            </w:pPr>
            <w:r>
              <w:rPr>
                <w:rFonts w:ascii="Aptos" w:hAnsi="Aptos"/>
                <w:color w:val="000000"/>
                <w:sz w:val="16"/>
              </w:rPr>
              <w:t>Centro-Oeste</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6"/>
              </w:rPr>
              <w:t>Café</w:t>
            </w:r>
          </w:p>
        </w:tc>
        <w:tc>
          <w:tcPr>
            <w:tcW w:type="dxa" w:w="1296"/>
            <w:tcMar>
              <w:top w:w="90" w:type="dxa"/>
              <w:start w:w="90" w:type="dxa"/>
              <w:bottom w:w="90" w:type="dxa"/>
              <w:end w:w="90" w:type="dxa"/>
            </w:tcMar>
            <w:vAlign w:val="center"/>
          </w:tcPr>
          <w:p>
            <w:pPr>
              <w:spacing w:after="0" w:line="240" w:lineRule="auto"/>
              <w:jc w:val="center"/>
            </w:pPr>
            <w:r>
              <w:rPr>
                <w:rFonts w:ascii="Aptos" w:hAnsi="Aptos"/>
                <w:color w:val="000000"/>
                <w:sz w:val="16"/>
              </w:rPr>
              <w:t>7</w:t>
            </w:r>
          </w:p>
        </w:tc>
        <w:tc>
          <w:tcPr>
            <w:tcW w:type="dxa" w:w="1512"/>
            <w:tcMar>
              <w:top w:w="90" w:type="dxa"/>
              <w:start w:w="90" w:type="dxa"/>
              <w:bottom w:w="90" w:type="dxa"/>
              <w:end w:w="90" w:type="dxa"/>
            </w:tcMar>
            <w:vAlign w:val="center"/>
          </w:tcPr>
          <w:p>
            <w:pPr>
              <w:spacing w:after="0" w:line="240" w:lineRule="auto"/>
              <w:jc w:val="center"/>
            </w:pPr>
            <w:r>
              <w:rPr>
                <w:rFonts w:ascii="Aptos" w:hAnsi="Aptos"/>
                <w:color w:val="000000"/>
                <w:sz w:val="16"/>
              </w:rPr>
              <w:t>20,0%</w:t>
            </w:r>
          </w:p>
        </w:tc>
      </w:tr>
    </w:tbl>
    <w:p>
      <w:pPr>
        <w:spacing w:after="20"/>
      </w:pPr>
    </w:p>
    <w:p>
      <w:pPr>
        <w:pStyle w:val="Question"/>
        <w:keepNext/>
      </w:pPr>
      <w:r>
        <w:rPr>
          <w:rFonts w:ascii="Aptos" w:hAnsi="Aptos"/>
          <w:b/>
          <w:color w:val="000000"/>
          <w:sz w:val="24"/>
        </w:rPr>
        <w:t>58. A categoria favorita informada coincide com a categoria observada nas compras?</w:t>
      </w:r>
    </w:p>
    <w:p>
      <w:r>
        <w:t>Sim, em 298 dos 330 clientes, correspondendo a 90,30%. Os 32 clientes divergentes representam 9,70%. A categoria observada foi definida pelo maior número de pedidos; em caso de empate, foram usados unidades, receita e ordem alfabética como critérios sucessivos. A concordância elevada sustenta o uso do atributo informado, mas a variável observada é preferível para análises comportamentais do período.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4320"/>
            <w:shd w:fill="1F4E78"/>
            <w:tcMar>
              <w:top w:w="90" w:type="dxa"/>
              <w:start w:w="90" w:type="dxa"/>
              <w:bottom w:w="90" w:type="dxa"/>
              <w:end w:w="90" w:type="dxa"/>
            </w:tcMar>
            <w:vAlign w:val="center"/>
          </w:tcPr>
          <w:p>
            <w:pPr>
              <w:jc w:val="center"/>
            </w:pPr>
            <w:r>
              <w:rPr>
                <w:rFonts w:ascii="Aptos" w:hAnsi="Aptos"/>
                <w:b/>
                <w:color w:val="FFFFFF"/>
                <w:sz w:val="17"/>
              </w:rPr>
              <w:t>Resultado</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Clientes</w:t>
            </w:r>
          </w:p>
        </w:tc>
        <w:tc>
          <w:tcPr>
            <w:tcW w:type="dxa" w:w="2016"/>
            <w:shd w:fill="1F4E78"/>
            <w:tcMar>
              <w:top w:w="90" w:type="dxa"/>
              <w:start w:w="90" w:type="dxa"/>
              <w:bottom w:w="90" w:type="dxa"/>
              <w:end w:w="90" w:type="dxa"/>
            </w:tcMar>
            <w:vAlign w:val="center"/>
          </w:tcPr>
          <w:p>
            <w:pPr>
              <w:jc w:val="center"/>
            </w:pPr>
            <w:r>
              <w:rPr>
                <w:rFonts w:ascii="Aptos" w:hAnsi="Aptos"/>
                <w:b/>
                <w:color w:val="FFFFFF"/>
                <w:sz w:val="17"/>
              </w:rPr>
              <w:t>%</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Coincide</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298</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90,30%</w:t>
            </w:r>
          </w:p>
        </w:tc>
      </w:tr>
      <w:tr>
        <w:tc>
          <w:tcPr>
            <w:tcW w:type="dxa" w:w="432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Não coincide</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32</w:t>
            </w:r>
          </w:p>
        </w:tc>
        <w:tc>
          <w:tcPr>
            <w:tcW w:type="dxa" w:w="201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9,70%</w:t>
            </w:r>
          </w:p>
        </w:tc>
      </w:tr>
      <w:tr>
        <w:tc>
          <w:tcPr>
            <w:tcW w:type="dxa" w:w="4320"/>
            <w:tcMar>
              <w:top w:w="90" w:type="dxa"/>
              <w:start w:w="90" w:type="dxa"/>
              <w:bottom w:w="90" w:type="dxa"/>
              <w:end w:w="90" w:type="dxa"/>
            </w:tcMar>
            <w:vAlign w:val="center"/>
          </w:tcPr>
          <w:p>
            <w:pPr>
              <w:spacing w:after="0" w:line="240" w:lineRule="auto"/>
              <w:jc w:val="left"/>
            </w:pPr>
            <w:r>
              <w:rPr>
                <w:rFonts w:ascii="Aptos" w:hAnsi="Aptos"/>
                <w:color w:val="000000"/>
                <w:sz w:val="17"/>
              </w:rPr>
              <w:t>Total</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330</w:t>
            </w:r>
          </w:p>
        </w:tc>
        <w:tc>
          <w:tcPr>
            <w:tcW w:type="dxa" w:w="2016"/>
            <w:tcMar>
              <w:top w:w="90" w:type="dxa"/>
              <w:start w:w="90" w:type="dxa"/>
              <w:bottom w:w="90" w:type="dxa"/>
              <w:end w:w="90" w:type="dxa"/>
            </w:tcMar>
            <w:vAlign w:val="center"/>
          </w:tcPr>
          <w:p>
            <w:pPr>
              <w:spacing w:after="0" w:line="240" w:lineRule="auto"/>
              <w:jc w:val="center"/>
            </w:pPr>
            <w:r>
              <w:rPr>
                <w:rFonts w:ascii="Aptos" w:hAnsi="Aptos"/>
                <w:color w:val="000000"/>
                <w:sz w:val="17"/>
              </w:rPr>
              <w:t>100,00%</w:t>
            </w:r>
          </w:p>
        </w:tc>
      </w:tr>
    </w:tbl>
    <w:p>
      <w:pPr>
        <w:spacing w:after="20"/>
      </w:pPr>
    </w:p>
    <w:p>
      <w:pPr>
        <w:pStyle w:val="Question"/>
        <w:keepNext/>
      </w:pPr>
      <w:r>
        <w:rPr>
          <w:rFonts w:ascii="Aptos" w:hAnsi="Aptos"/>
          <w:b/>
          <w:color w:val="000000"/>
          <w:sz w:val="24"/>
        </w:rPr>
        <w:t>59. Os cruzamentos socioeconômicos geram grupos com tamanho suficiente para análise?</w:t>
      </w:r>
    </w:p>
    <w:p>
      <w:r>
        <w:t>Não quando muitas dimensões são cruzadas simultaneamente. O cruzamento gênero, escolaridade, quartil de renda e faixa etária produz 143 grupos observados, com média de 2,31 clientes e nenhum grupo com dez ou mais clientes. O cruzamento região, estado, quartil de renda e gênero produz 100 grupos, dos quais 95 possuem menos de dez clientes; esses grupos pequenos reúnem 77,88% dos clientes.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16"/>
        <w:gridCol w:w="2016"/>
        <w:gridCol w:w="2016"/>
        <w:gridCol w:w="2016"/>
        <w:gridCol w:w="2016"/>
      </w:tblGrid>
      <w:tr>
        <w:trPr>
          <w:tblHeader w:val="true"/>
        </w:trPr>
        <w:tc>
          <w:tcPr>
            <w:tcW w:type="dxa" w:w="2304"/>
            <w:shd w:fill="1F4E78"/>
            <w:tcMar>
              <w:top w:w="90" w:type="dxa"/>
              <w:start w:w="90" w:type="dxa"/>
              <w:bottom w:w="90" w:type="dxa"/>
              <w:end w:w="90" w:type="dxa"/>
            </w:tcMar>
            <w:vAlign w:val="center"/>
          </w:tcPr>
          <w:p>
            <w:pPr>
              <w:jc w:val="center"/>
            </w:pPr>
            <w:r>
              <w:rPr>
                <w:rFonts w:ascii="Aptos" w:hAnsi="Aptos"/>
                <w:b/>
                <w:color w:val="FFFFFF"/>
                <w:sz w:val="16"/>
              </w:rPr>
              <w:t>Cruzamento</w:t>
            </w:r>
          </w:p>
        </w:tc>
        <w:tc>
          <w:tcPr>
            <w:tcW w:type="dxa" w:w="1152"/>
            <w:shd w:fill="1F4E78"/>
            <w:tcMar>
              <w:top w:w="90" w:type="dxa"/>
              <w:start w:w="90" w:type="dxa"/>
              <w:bottom w:w="90" w:type="dxa"/>
              <w:end w:w="90" w:type="dxa"/>
            </w:tcMar>
            <w:vAlign w:val="center"/>
          </w:tcPr>
          <w:p>
            <w:pPr>
              <w:jc w:val="center"/>
            </w:pPr>
            <w:r>
              <w:rPr>
                <w:rFonts w:ascii="Aptos" w:hAnsi="Aptos"/>
                <w:b/>
                <w:color w:val="FFFFFF"/>
                <w:sz w:val="16"/>
              </w:rPr>
              <w:t>Grupos</w:t>
            </w:r>
          </w:p>
        </w:tc>
        <w:tc>
          <w:tcPr>
            <w:tcW w:type="dxa" w:w="1872"/>
            <w:shd w:fill="1F4E78"/>
            <w:tcMar>
              <w:top w:w="90" w:type="dxa"/>
              <w:start w:w="90" w:type="dxa"/>
              <w:bottom w:w="90" w:type="dxa"/>
              <w:end w:w="90" w:type="dxa"/>
            </w:tcMar>
            <w:vAlign w:val="center"/>
          </w:tcPr>
          <w:p>
            <w:pPr>
              <w:jc w:val="center"/>
            </w:pPr>
            <w:r>
              <w:rPr>
                <w:rFonts w:ascii="Aptos" w:hAnsi="Aptos"/>
                <w:b/>
                <w:color w:val="FFFFFF"/>
                <w:sz w:val="16"/>
              </w:rPr>
              <w:t>Média por grupo</w:t>
            </w:r>
          </w:p>
        </w:tc>
        <w:tc>
          <w:tcPr>
            <w:tcW w:type="dxa" w:w="3168"/>
            <w:shd w:fill="1F4E78"/>
            <w:tcMar>
              <w:top w:w="90" w:type="dxa"/>
              <w:start w:w="90" w:type="dxa"/>
              <w:bottom w:w="90" w:type="dxa"/>
              <w:end w:w="90" w:type="dxa"/>
            </w:tcMar>
            <w:vAlign w:val="center"/>
          </w:tcPr>
          <w:p>
            <w:pPr>
              <w:jc w:val="center"/>
            </w:pPr>
            <w:r>
              <w:rPr>
                <w:rFonts w:ascii="Aptos" w:hAnsi="Aptos"/>
                <w:b/>
                <w:color w:val="FFFFFF"/>
                <w:sz w:val="16"/>
              </w:rPr>
              <w:t>Grupos com n menor que 10</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Maior grupo</w:t>
            </w:r>
          </w:p>
        </w:tc>
      </w:tr>
      <w:tr>
        <w:tc>
          <w:tcPr>
            <w:tcW w:type="dxa" w:w="2304"/>
            <w:tcMar>
              <w:top w:w="90" w:type="dxa"/>
              <w:start w:w="90" w:type="dxa"/>
              <w:bottom w:w="90" w:type="dxa"/>
              <w:end w:w="90" w:type="dxa"/>
            </w:tcMar>
            <w:vAlign w:val="center"/>
          </w:tcPr>
          <w:p>
            <w:pPr>
              <w:spacing w:after="0" w:line="240" w:lineRule="auto"/>
              <w:jc w:val="left"/>
            </w:pPr>
            <w:r>
              <w:rPr>
                <w:rFonts w:ascii="Aptos" w:hAnsi="Aptos"/>
                <w:color w:val="000000"/>
                <w:sz w:val="16"/>
              </w:rPr>
              <w:t>Socioeconômico</w:t>
            </w:r>
          </w:p>
        </w:tc>
        <w:tc>
          <w:tcPr>
            <w:tcW w:type="dxa" w:w="1152"/>
            <w:tcMar>
              <w:top w:w="90" w:type="dxa"/>
              <w:start w:w="90" w:type="dxa"/>
              <w:bottom w:w="90" w:type="dxa"/>
              <w:end w:w="90" w:type="dxa"/>
            </w:tcMar>
            <w:vAlign w:val="center"/>
          </w:tcPr>
          <w:p>
            <w:pPr>
              <w:spacing w:after="0" w:line="240" w:lineRule="auto"/>
              <w:jc w:val="center"/>
            </w:pPr>
            <w:r>
              <w:rPr>
                <w:rFonts w:ascii="Aptos" w:hAnsi="Aptos"/>
                <w:color w:val="000000"/>
                <w:sz w:val="16"/>
              </w:rPr>
              <w:t>143</w:t>
            </w:r>
          </w:p>
        </w:tc>
        <w:tc>
          <w:tcPr>
            <w:tcW w:type="dxa" w:w="1872"/>
            <w:tcMar>
              <w:top w:w="90" w:type="dxa"/>
              <w:start w:w="90" w:type="dxa"/>
              <w:bottom w:w="90" w:type="dxa"/>
              <w:end w:w="90" w:type="dxa"/>
            </w:tcMar>
            <w:vAlign w:val="center"/>
          </w:tcPr>
          <w:p>
            <w:pPr>
              <w:spacing w:after="0" w:line="240" w:lineRule="auto"/>
              <w:jc w:val="center"/>
            </w:pPr>
            <w:r>
              <w:rPr>
                <w:rFonts w:ascii="Aptos" w:hAnsi="Aptos"/>
                <w:color w:val="000000"/>
                <w:sz w:val="16"/>
              </w:rPr>
              <w:t>2,31</w:t>
            </w:r>
          </w:p>
        </w:tc>
        <w:tc>
          <w:tcPr>
            <w:tcW w:type="dxa" w:w="3168"/>
            <w:tcMar>
              <w:top w:w="90" w:type="dxa"/>
              <w:start w:w="90" w:type="dxa"/>
              <w:bottom w:w="90" w:type="dxa"/>
              <w:end w:w="90" w:type="dxa"/>
            </w:tcMar>
            <w:vAlign w:val="center"/>
          </w:tcPr>
          <w:p>
            <w:pPr>
              <w:spacing w:after="0" w:line="240" w:lineRule="auto"/>
              <w:jc w:val="center"/>
            </w:pPr>
            <w:r>
              <w:rPr>
                <w:rFonts w:ascii="Aptos" w:hAnsi="Aptos"/>
                <w:color w:val="000000"/>
                <w:sz w:val="16"/>
              </w:rPr>
              <w:t>143 (100,00%)</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9</w:t>
            </w:r>
          </w:p>
        </w:tc>
      </w:tr>
      <w:tr>
        <w:tc>
          <w:tcPr>
            <w:tcW w:type="dxa" w:w="2304"/>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Geográfico</w:t>
            </w:r>
          </w:p>
        </w:tc>
        <w:tc>
          <w:tcPr>
            <w:tcW w:type="dxa" w:w="115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100</w:t>
            </w:r>
          </w:p>
        </w:tc>
        <w:tc>
          <w:tcPr>
            <w:tcW w:type="dxa" w:w="1872"/>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3,30</w:t>
            </w:r>
          </w:p>
        </w:tc>
        <w:tc>
          <w:tcPr>
            <w:tcW w:type="dxa" w:w="316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95 (95,00%)</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21</w:t>
            </w:r>
          </w:p>
        </w:tc>
      </w:tr>
    </w:tbl>
    <w:p>
      <w:pPr>
        <w:spacing w:after="20"/>
      </w:pPr>
    </w:p>
    <w:p>
      <w:r>
        <w:t>Para visualização, recomenda-se usar no máximo duas dimensões por vez ou consolidar categorias. Para clustering futuro, variáveis numéricas padronizadas são mais adequadas que a criação manual desses microgrupos.</w:t>
      </w:r>
    </w:p>
    <w:p>
      <w:pPr>
        <w:pStyle w:val="Question"/>
        <w:keepNext/>
      </w:pPr>
      <w:r>
        <w:rPr>
          <w:rFonts w:ascii="Aptos" w:hAnsi="Aptos"/>
          <w:b/>
          <w:color w:val="000000"/>
          <w:sz w:val="24"/>
        </w:rPr>
        <w:t>60. Quais relações apresentam correlação linear mais relevante e merecem aprofundamento?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20"/>
        <w:gridCol w:w="2520"/>
        <w:gridCol w:w="2520"/>
        <w:gridCol w:w="2520"/>
      </w:tblGrid>
      <w:tr>
        <w:trPr>
          <w:tblHeader w:val="true"/>
        </w:trPr>
        <w:tc>
          <w:tcPr>
            <w:tcW w:type="dxa" w:w="3168"/>
            <w:shd w:fill="1F4E78"/>
            <w:tcMar>
              <w:top w:w="90" w:type="dxa"/>
              <w:start w:w="90" w:type="dxa"/>
              <w:bottom w:w="90" w:type="dxa"/>
              <w:end w:w="90" w:type="dxa"/>
            </w:tcMar>
            <w:vAlign w:val="center"/>
          </w:tcPr>
          <w:p>
            <w:pPr>
              <w:jc w:val="center"/>
            </w:pPr>
            <w:r>
              <w:rPr>
                <w:rFonts w:ascii="Aptos" w:hAnsi="Aptos"/>
                <w:b/>
                <w:color w:val="FFFFFF"/>
                <w:sz w:val="16"/>
              </w:rPr>
              <w:t>Relação</w:t>
            </w:r>
          </w:p>
        </w:tc>
        <w:tc>
          <w:tcPr>
            <w:tcW w:type="dxa" w:w="1440"/>
            <w:shd w:fill="1F4E78"/>
            <w:tcMar>
              <w:top w:w="90" w:type="dxa"/>
              <w:start w:w="90" w:type="dxa"/>
              <w:bottom w:w="90" w:type="dxa"/>
              <w:end w:w="90" w:type="dxa"/>
            </w:tcMar>
            <w:vAlign w:val="center"/>
          </w:tcPr>
          <w:p>
            <w:pPr>
              <w:jc w:val="center"/>
            </w:pPr>
            <w:r>
              <w:rPr>
                <w:rFonts w:ascii="Aptos" w:hAnsi="Aptos"/>
                <w:b/>
                <w:color w:val="FFFFFF"/>
                <w:sz w:val="16"/>
              </w:rPr>
              <w:t>Pearson r</w:t>
            </w:r>
          </w:p>
        </w:tc>
        <w:tc>
          <w:tcPr>
            <w:tcW w:type="dxa" w:w="1800"/>
            <w:shd w:fill="1F4E78"/>
            <w:tcMar>
              <w:top w:w="90" w:type="dxa"/>
              <w:start w:w="90" w:type="dxa"/>
              <w:bottom w:w="90" w:type="dxa"/>
              <w:end w:w="90" w:type="dxa"/>
            </w:tcMar>
            <w:vAlign w:val="center"/>
          </w:tcPr>
          <w:p>
            <w:pPr>
              <w:jc w:val="center"/>
            </w:pPr>
            <w:r>
              <w:rPr>
                <w:rFonts w:ascii="Aptos" w:hAnsi="Aptos"/>
                <w:b/>
                <w:color w:val="FFFFFF"/>
                <w:sz w:val="16"/>
              </w:rPr>
              <w:t>Magnitude</w:t>
            </w:r>
          </w:p>
        </w:tc>
        <w:tc>
          <w:tcPr>
            <w:tcW w:type="dxa" w:w="3528"/>
            <w:shd w:fill="1F4E78"/>
            <w:tcMar>
              <w:top w:w="90" w:type="dxa"/>
              <w:start w:w="90" w:type="dxa"/>
              <w:bottom w:w="90" w:type="dxa"/>
              <w:end w:w="90" w:type="dxa"/>
            </w:tcMar>
            <w:vAlign w:val="center"/>
          </w:tcPr>
          <w:p>
            <w:pPr>
              <w:jc w:val="center"/>
            </w:pPr>
            <w:r>
              <w:rPr>
                <w:rFonts w:ascii="Aptos" w:hAnsi="Aptos"/>
                <w:b/>
                <w:color w:val="FFFFFF"/>
                <w:sz w:val="16"/>
              </w:rPr>
              <w:t>Prioridade</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Renda e receita total</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0,122</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Fraca</w:t>
            </w:r>
          </w:p>
        </w:tc>
        <w:tc>
          <w:tcPr>
            <w:tcW w:type="dxa" w:w="3528"/>
            <w:tcMar>
              <w:top w:w="90" w:type="dxa"/>
              <w:start w:w="90" w:type="dxa"/>
              <w:bottom w:w="90" w:type="dxa"/>
              <w:end w:w="90" w:type="dxa"/>
            </w:tcMar>
            <w:vAlign w:val="center"/>
          </w:tcPr>
          <w:p>
            <w:pPr>
              <w:spacing w:after="0" w:line="240" w:lineRule="auto"/>
              <w:jc w:val="center"/>
            </w:pPr>
            <w:r>
              <w:rPr>
                <w:rFonts w:ascii="Aptos" w:hAnsi="Aptos"/>
                <w:color w:val="000000"/>
                <w:sz w:val="16"/>
              </w:rPr>
              <w:t>Maior correlação observada; aprofundar com cautela</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 e ticket calculado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0,099</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Desprezível</w:t>
            </w:r>
          </w:p>
        </w:tc>
        <w:tc>
          <w:tcPr>
            <w:tcW w:type="dxa" w:w="352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Exploratória</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Idade e receita total</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0,078</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Desprezível</w:t>
            </w:r>
          </w:p>
        </w:tc>
        <w:tc>
          <w:tcPr>
            <w:tcW w:type="dxa" w:w="3528"/>
            <w:tcMar>
              <w:top w:w="90" w:type="dxa"/>
              <w:start w:w="90" w:type="dxa"/>
              <w:bottom w:w="90" w:type="dxa"/>
              <w:end w:w="90" w:type="dxa"/>
            </w:tcMar>
            <w:vAlign w:val="center"/>
          </w:tcPr>
          <w:p>
            <w:pPr>
              <w:spacing w:after="0" w:line="240" w:lineRule="auto"/>
              <w:jc w:val="center"/>
            </w:pPr>
            <w:r>
              <w:rPr>
                <w:rFonts w:ascii="Aptos" w:hAnsi="Aptos"/>
                <w:color w:val="000000"/>
                <w:sz w:val="16"/>
              </w:rPr>
              <w:t>Baixa</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Renda e total de pedidos</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0,077</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Desprezível</w:t>
            </w:r>
          </w:p>
        </w:tc>
        <w:tc>
          <w:tcPr>
            <w:tcW w:type="dxa" w:w="352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Baixa</w:t>
            </w:r>
          </w:p>
        </w:tc>
      </w:tr>
      <w:tr>
        <w:tc>
          <w:tcPr>
            <w:tcW w:type="dxa" w:w="3168"/>
            <w:tcMar>
              <w:top w:w="90" w:type="dxa"/>
              <w:start w:w="90" w:type="dxa"/>
              <w:bottom w:w="90" w:type="dxa"/>
              <w:end w:w="90" w:type="dxa"/>
            </w:tcMar>
            <w:vAlign w:val="center"/>
          </w:tcPr>
          <w:p>
            <w:pPr>
              <w:spacing w:after="0" w:line="240" w:lineRule="auto"/>
              <w:jc w:val="left"/>
            </w:pPr>
            <w:r>
              <w:rPr>
                <w:rFonts w:ascii="Aptos" w:hAnsi="Aptos"/>
                <w:color w:val="000000"/>
                <w:sz w:val="16"/>
              </w:rPr>
              <w:t>Idade e total de pedidos</w:t>
            </w:r>
          </w:p>
        </w:tc>
        <w:tc>
          <w:tcPr>
            <w:tcW w:type="dxa" w:w="1440"/>
            <w:tcMar>
              <w:top w:w="90" w:type="dxa"/>
              <w:start w:w="90" w:type="dxa"/>
              <w:bottom w:w="90" w:type="dxa"/>
              <w:end w:w="90" w:type="dxa"/>
            </w:tcMar>
            <w:vAlign w:val="center"/>
          </w:tcPr>
          <w:p>
            <w:pPr>
              <w:spacing w:after="0" w:line="240" w:lineRule="auto"/>
              <w:jc w:val="center"/>
            </w:pPr>
            <w:r>
              <w:rPr>
                <w:rFonts w:ascii="Aptos" w:hAnsi="Aptos"/>
                <w:color w:val="000000"/>
                <w:sz w:val="16"/>
              </w:rPr>
              <w:t>0,056</w:t>
            </w:r>
          </w:p>
        </w:tc>
        <w:tc>
          <w:tcPr>
            <w:tcW w:type="dxa" w:w="1800"/>
            <w:tcMar>
              <w:top w:w="90" w:type="dxa"/>
              <w:start w:w="90" w:type="dxa"/>
              <w:bottom w:w="90" w:type="dxa"/>
              <w:end w:w="90" w:type="dxa"/>
            </w:tcMar>
            <w:vAlign w:val="center"/>
          </w:tcPr>
          <w:p>
            <w:pPr>
              <w:spacing w:after="0" w:line="240" w:lineRule="auto"/>
              <w:jc w:val="center"/>
            </w:pPr>
            <w:r>
              <w:rPr>
                <w:rFonts w:ascii="Aptos" w:hAnsi="Aptos"/>
                <w:color w:val="000000"/>
                <w:sz w:val="16"/>
              </w:rPr>
              <w:t>Desprezível</w:t>
            </w:r>
          </w:p>
        </w:tc>
        <w:tc>
          <w:tcPr>
            <w:tcW w:type="dxa" w:w="3528"/>
            <w:tcMar>
              <w:top w:w="90" w:type="dxa"/>
              <w:start w:w="90" w:type="dxa"/>
              <w:bottom w:w="90" w:type="dxa"/>
              <w:end w:w="90" w:type="dxa"/>
            </w:tcMar>
            <w:vAlign w:val="center"/>
          </w:tcPr>
          <w:p>
            <w:pPr>
              <w:spacing w:after="0" w:line="240" w:lineRule="auto"/>
              <w:jc w:val="center"/>
            </w:pPr>
            <w:r>
              <w:rPr>
                <w:rFonts w:ascii="Aptos" w:hAnsi="Aptos"/>
                <w:color w:val="000000"/>
                <w:sz w:val="16"/>
              </w:rPr>
              <w:t>Baixa</w:t>
            </w:r>
          </w:p>
        </w:tc>
      </w:tr>
      <w:tr>
        <w:tc>
          <w:tcPr>
            <w:tcW w:type="dxa" w:w="3168"/>
            <w:shd w:fill="EAF2F8"/>
            <w:tcMar>
              <w:top w:w="90" w:type="dxa"/>
              <w:start w:w="90" w:type="dxa"/>
              <w:bottom w:w="90" w:type="dxa"/>
              <w:end w:w="90" w:type="dxa"/>
            </w:tcMar>
            <w:vAlign w:val="center"/>
          </w:tcPr>
          <w:p>
            <w:pPr>
              <w:spacing w:after="0" w:line="240" w:lineRule="auto"/>
              <w:jc w:val="left"/>
            </w:pPr>
            <w:r>
              <w:rPr>
                <w:rFonts w:ascii="Aptos" w:hAnsi="Aptos"/>
                <w:color w:val="000000"/>
                <w:sz w:val="16"/>
              </w:rPr>
              <w:t>Ticket informado e calculado</w:t>
            </w:r>
          </w:p>
        </w:tc>
        <w:tc>
          <w:tcPr>
            <w:tcW w:type="dxa" w:w="144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-0,002</w:t>
            </w:r>
          </w:p>
        </w:tc>
        <w:tc>
          <w:tcPr>
            <w:tcW w:type="dxa" w:w="1800"/>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Nula</w:t>
            </w:r>
          </w:p>
        </w:tc>
        <w:tc>
          <w:tcPr>
            <w:tcW w:type="dxa" w:w="3528"/>
            <w:shd w:fill="EAF2F8"/>
            <w:tcMar>
              <w:top w:w="90" w:type="dxa"/>
              <w:start w:w="90" w:type="dxa"/>
              <w:bottom w:w="90" w:type="dxa"/>
              <w:end w:w="90" w:type="dxa"/>
            </w:tcMar>
            <w:vAlign w:val="center"/>
          </w:tcPr>
          <w:p>
            <w:pPr>
              <w:spacing w:after="0" w:line="240" w:lineRule="auto"/>
              <w:jc w:val="center"/>
            </w:pPr>
            <w:r>
              <w:rPr>
                <w:rFonts w:ascii="Aptos" w:hAnsi="Aptos"/>
                <w:color w:val="000000"/>
                <w:sz w:val="16"/>
              </w:rPr>
              <w:t>Investigar definição da fonte, não relação linear</w:t>
            </w:r>
          </w:p>
        </w:tc>
      </w:tr>
    </w:tbl>
    <w:p>
      <w:pPr>
        <w:spacing w:after="20"/>
      </w:pPr>
    </w:p>
    <w:p>
      <w:r>
        <w:t>Nenhuma relação apresenta correlação linear moderada ou forte. A principal candidata a aprofundamento é renda e receita total, mas seu efeito é pequeno. O resultado recomenda investigar relações não lineares, interações, Spearman e segmentação multivariada, sem afirmar causalidade.</w:t>
      </w:r>
    </w:p>
    <w:p>
      <w:pPr>
        <w:spacing w:before="40" w:after="160"/>
      </w:pPr>
      <w:r>
        <w:rPr>
          <w:rFonts w:ascii="Aptos" w:hAnsi="Aptos"/>
          <w:b/>
          <w:color w:val="404040"/>
          <w:sz w:val="18"/>
        </w:rPr>
        <w:t xml:space="preserve">Fonte e método: </w:t>
      </w:r>
      <w:r>
        <w:rPr>
          <w:rFonts w:ascii="Aptos" w:hAnsi="Aptos"/>
          <w:color w:val="404040"/>
          <w:sz w:val="18"/>
        </w:rPr>
        <w:t>Arquivos 03_analise_bivariada.sql, 04_analise_multivariada.sql e 05_create_vw_perfil_cliente_analytics.sql; Pearson calculado no grão de 330 clientes.</w:t>
      </w:r>
    </w:p>
    <w:p>
      <w:pPr>
        <w:pStyle w:val="Heading1"/>
      </w:pPr>
      <w:r>
        <w:t>Síntese das 60 perguntas</w:t>
      </w:r>
    </w:p>
    <w:p>
      <w:r>
        <w:t>A EDA confirma uma base analítica consistente e reconciliada. Os 330 clientes realizaram 2.789 pedidos compostos por 6.495 linhas e 13.375 unidades, com 2.789 entregas correspondentes. As medidas financeiras conciliam entre item e pedido, e não foram encontrados problemas de integridade referencial ou duplicação nas chaves avaliadas.</w:t>
      </w:r>
    </w:p>
    <w:p>
      <w:r>
        <w:t>As distribuições monetárias são assimétricas e heterogêneas: médias superiores às medianas, coeficientes de variação elevados e percentis superiores distantes do centro. Desconto, atraso e meses sem compra possuem muitos zeros legítimos. A margem percentual é mais estável que receita e margem em valores absolutos.</w:t>
      </w:r>
    </w:p>
    <w:p>
      <w:r>
        <w:t>As limitações mais relevantes são a indisponibilidade de Ciclo_Vida_Informado e a cobertura parcial de Intervalo_Medio_Calculado e Ticket_Medio_Calculado. Essas ausências foram preservadas e documentadas, sem criação de dados artificiais.</w:t>
      </w:r>
    </w:p>
    <w:p>
      <w:r>
        <w:t>As distribuições categóricas mostram concentração geográfica no Sudeste, predomínio de vendas sem campanha e forte diferença entre participação no catálogo e participação na receita. Nas relações entre perfil e comportamento, renda, idade, frequência, ticket e receita apresentam apenas associações lineares fracas ou desprezíveis.</w:t>
      </w:r>
    </w:p>
    <w:p>
      <w:r>
        <w:t>A categoria favorita informada coincide com a observada em 90,30% dos clientes. Cruzamentos com muitas dimensões fragmentam excessivamente os 330 clientes; portanto, a apresentação deve privilegiar recortes simples, e a segmentação futura deve usar métodos multivariados com validação.</w:t>
      </w:r>
    </w:p>
    <w:p>
      <w:pPr>
        <w:pStyle w:val="Heading1"/>
      </w:pPr>
      <w:r>
        <w:t>Rastreabilidade geral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60"/>
        <w:gridCol w:w="3360"/>
        <w:gridCol w:w="3360"/>
      </w:tblGrid>
      <w:tr>
        <w:trPr>
          <w:tblHeader w:val="true"/>
        </w:trPr>
        <w:tc>
          <w:tcPr>
            <w:tcW w:type="dxa" w:w="2160"/>
            <w:shd w:fill="1F4E78"/>
            <w:tcMar>
              <w:top w:w="90" w:type="dxa"/>
              <w:start w:w="90" w:type="dxa"/>
              <w:bottom w:w="90" w:type="dxa"/>
              <w:end w:w="90" w:type="dxa"/>
            </w:tcMar>
            <w:vAlign w:val="center"/>
          </w:tcPr>
          <w:p>
            <w:pPr>
              <w:jc w:val="center"/>
            </w:pPr>
            <w:r>
              <w:rPr>
                <w:rFonts w:ascii="Aptos" w:hAnsi="Aptos"/>
                <w:b/>
                <w:color w:val="FFFFFF"/>
                <w:sz w:val="17"/>
              </w:rPr>
              <w:t>Faixa de perguntas</w:t>
            </w:r>
          </w:p>
        </w:tc>
        <w:tc>
          <w:tcPr>
            <w:tcW w:type="dxa" w:w="3456"/>
            <w:shd w:fill="1F4E78"/>
            <w:tcMar>
              <w:top w:w="90" w:type="dxa"/>
              <w:start w:w="90" w:type="dxa"/>
              <w:bottom w:w="90" w:type="dxa"/>
              <w:end w:w="90" w:type="dxa"/>
            </w:tcMar>
            <w:vAlign w:val="center"/>
          </w:tcPr>
          <w:p>
            <w:pPr>
              <w:jc w:val="center"/>
            </w:pPr>
            <w:r>
              <w:rPr>
                <w:rFonts w:ascii="Aptos" w:hAnsi="Aptos"/>
                <w:b/>
                <w:color w:val="FFFFFF"/>
                <w:sz w:val="17"/>
              </w:rPr>
              <w:t>Arquivo principal</w:t>
            </w:r>
          </w:p>
        </w:tc>
        <w:tc>
          <w:tcPr>
            <w:tcW w:type="dxa" w:w="4320"/>
            <w:shd w:fill="1F4E78"/>
            <w:tcMar>
              <w:top w:w="90" w:type="dxa"/>
              <w:start w:w="90" w:type="dxa"/>
              <w:bottom w:w="90" w:type="dxa"/>
              <w:end w:w="90" w:type="dxa"/>
            </w:tcMar>
            <w:vAlign w:val="center"/>
          </w:tcPr>
          <w:p>
            <w:pPr>
              <w:jc w:val="center"/>
            </w:pPr>
            <w:r>
              <w:rPr>
                <w:rFonts w:ascii="Aptos" w:hAnsi="Aptos"/>
                <w:b/>
                <w:color w:val="FFFFFF"/>
                <w:sz w:val="17"/>
              </w:rPr>
              <w:t>Estruturas</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7"/>
              </w:rPr>
              <w:t>1 a 10</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7"/>
              </w:rPr>
              <w:t>00 e 01</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Tabelas Gold e parâmetros gerais</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11 a 22</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01, 05, 06, 07 e 08</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Gold, views EDA, auditoria e reconciliação</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7"/>
              </w:rPr>
              <w:t>23 a 32</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7"/>
              </w:rPr>
              <w:t>02, 06, 09 e 10</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Cobertura, dataset de clientes, marketing e logística</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33 a 42</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02_analise_univariada.sql</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Estatísticas, percentis, IQR, outliers e significado dos zeros</w:t>
            </w:r>
          </w:p>
        </w:tc>
      </w:tr>
      <w:tr>
        <w:tc>
          <w:tcPr>
            <w:tcW w:type="dxa" w:w="2160"/>
            <w:tcMar>
              <w:top w:w="90" w:type="dxa"/>
              <w:start w:w="90" w:type="dxa"/>
              <w:bottom w:w="90" w:type="dxa"/>
              <w:end w:w="90" w:type="dxa"/>
            </w:tcMar>
            <w:vAlign w:val="center"/>
          </w:tcPr>
          <w:p>
            <w:pPr>
              <w:spacing w:after="0" w:line="240" w:lineRule="auto"/>
              <w:jc w:val="left"/>
            </w:pPr>
            <w:r>
              <w:rPr>
                <w:rFonts w:ascii="Aptos" w:hAnsi="Aptos"/>
                <w:color w:val="000000"/>
                <w:sz w:val="17"/>
              </w:rPr>
              <w:t>43 a 50</w:t>
            </w:r>
          </w:p>
        </w:tc>
        <w:tc>
          <w:tcPr>
            <w:tcW w:type="dxa" w:w="3456"/>
            <w:tcMar>
              <w:top w:w="90" w:type="dxa"/>
              <w:start w:w="90" w:type="dxa"/>
              <w:bottom w:w="90" w:type="dxa"/>
              <w:end w:w="90" w:type="dxa"/>
            </w:tcMar>
            <w:vAlign w:val="center"/>
          </w:tcPr>
          <w:p>
            <w:pPr>
              <w:spacing w:after="0" w:line="240" w:lineRule="auto"/>
              <w:jc w:val="center"/>
            </w:pPr>
            <w:r>
              <w:rPr>
                <w:rFonts w:ascii="Aptos" w:hAnsi="Aptos"/>
                <w:color w:val="000000"/>
                <w:sz w:val="17"/>
              </w:rPr>
              <w:t>02 e tabelas Gold</w:t>
            </w:r>
          </w:p>
        </w:tc>
        <w:tc>
          <w:tcPr>
            <w:tcW w:type="dxa" w:w="4320"/>
            <w:tcMar>
              <w:top w:w="90" w:type="dxa"/>
              <w:start w:w="90" w:type="dxa"/>
              <w:bottom w:w="90" w:type="dxa"/>
              <w:end w:w="90" w:type="dxa"/>
            </w:tcMar>
            <w:vAlign w:val="center"/>
          </w:tcPr>
          <w:p>
            <w:pPr>
              <w:spacing w:after="0" w:line="240" w:lineRule="auto"/>
              <w:jc w:val="center"/>
            </w:pPr>
            <w:r>
              <w:rPr>
                <w:rFonts w:ascii="Aptos" w:hAnsi="Aptos"/>
                <w:color w:val="000000"/>
                <w:sz w:val="17"/>
              </w:rPr>
              <w:t>Domínios, frequências, modas, geografia e catálogo</w:t>
            </w:r>
          </w:p>
        </w:tc>
      </w:tr>
      <w:tr>
        <w:tc>
          <w:tcPr>
            <w:tcW w:type="dxa" w:w="2160"/>
            <w:shd w:fill="EAF2F8"/>
            <w:tcMar>
              <w:top w:w="90" w:type="dxa"/>
              <w:start w:w="90" w:type="dxa"/>
              <w:bottom w:w="90" w:type="dxa"/>
              <w:end w:w="90" w:type="dxa"/>
            </w:tcMar>
            <w:vAlign w:val="center"/>
          </w:tcPr>
          <w:p>
            <w:pPr>
              <w:spacing w:after="0" w:line="240" w:lineRule="auto"/>
              <w:jc w:val="left"/>
            </w:pPr>
            <w:r>
              <w:rPr>
                <w:rFonts w:ascii="Aptos" w:hAnsi="Aptos"/>
                <w:color w:val="000000"/>
                <w:sz w:val="17"/>
              </w:rPr>
              <w:t>51 a 60</w:t>
            </w:r>
          </w:p>
        </w:tc>
        <w:tc>
          <w:tcPr>
            <w:tcW w:type="dxa" w:w="3456"/>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03, 04 e 05</w:t>
            </w:r>
          </w:p>
        </w:tc>
        <w:tc>
          <w:tcPr>
            <w:tcW w:type="dxa" w:w="4320"/>
            <w:shd w:fill="EAF2F8"/>
            <w:tcMar>
              <w:top w:w="90" w:type="dxa"/>
              <w:start w:w="90" w:type="dxa"/>
              <w:bottom w:w="90" w:type="dxa"/>
              <w:end w:w="90" w:type="dxa"/>
            </w:tcMar>
            <w:vAlign w:val="center"/>
          </w:tcPr>
          <w:p>
            <w:pPr>
              <w:spacing w:after="0" w:line="240" w:lineRule="auto"/>
              <w:jc w:val="center"/>
            </w:pPr>
            <w:r>
              <w:rPr>
                <w:rFonts w:ascii="Aptos" w:hAnsi="Aptos"/>
                <w:color w:val="000000"/>
                <w:sz w:val="17"/>
              </w:rPr>
              <w:t>Relações perfil-comportamento, fragmentação e correlações</w:t>
            </w:r>
          </w:p>
        </w:tc>
      </w:tr>
    </w:tbl>
    <w:p>
      <w:pPr>
        <w:spacing w:after="20"/>
      </w:pPr>
    </w:p>
    <w:sectPr w:rsidR="00FC693F" w:rsidRPr="0006063C" w:rsidSect="00034616">
      <w:footerReference w:type="default" r:id="rId11"/>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Customer Analytics Hub  |  EDA Geral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Customer Analytics Hub  |  EDA Geral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Customer Analytics Hub  |  EDA Geral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spacing w:before="200" w:after="80"/>
    </w:pPr>
    <w:rPr>
      <w:rFonts w:ascii="Aptos Display" w:hAnsi="Aptos Display"/>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Perguntas Respondidas da EDA Geral</dc:title>
  <dc:subject>Customer Analytics Hub</dc:subject>
  <dc:creator>Customer Analytics Hub</dc:creator>
  <cp:keywords>EDA, SQL Server, Gold, estatística descritiva, rastreabilidade</cp:keywords>
  <dc:description>generated by python-docx</dc:description>
  <cp:lastModifiedBy/>
  <cp:revision>1</cp:revision>
  <dcterms:created xsi:type="dcterms:W3CDTF">2013-12-23T23:15:00Z</dcterms:created>
  <dcterms:modified xsi:type="dcterms:W3CDTF">2013-12-23T23:15:00Z</dcterms:modified>
  <cp:category/>
</cp:coreProperties>
</file>