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executivo final — experimento CRM em varejo de moda</w:t>
      </w:r>
    </w:p>
    <w:p>
      <w:r/>
      <w:r>
        <w:rPr>
          <w:b/>
        </w:rPr>
        <w:t>Fechamento de escopo:</w:t>
      </w:r>
      <w:r>
        <w:t xml:space="preserve"> 26/09/2026. O projeto termina neste recorte porque os dados, a análise A/B, a reconciliação e o painel já respondem à pergunta proposta. Não serão acrescentadas outras análises nesta versão.</w:t>
      </w:r>
    </w:p>
    <w:p>
      <w:pPr>
        <w:pStyle w:val="Heading1"/>
      </w:pPr>
      <w:r>
        <w:t>Pergunta e resultado</w:t>
      </w:r>
    </w:p>
    <w:p>
      <w:r>
        <w:t xml:space="preserve">Em 64.000 registros experimentais, dois grupos receberam e-mail e um não recebeu. A taxa de compra foi de </w:t>
      </w:r>
      <w:r>
        <w:rPr>
          <w:b/>
        </w:rPr>
        <w:t>0,57%</w:t>
      </w:r>
      <w:r>
        <w:t xml:space="preserve"> sem e-mail, </w:t>
      </w:r>
      <w:r>
        <w:rPr>
          <w:b/>
        </w:rPr>
        <w:t>0,88%</w:t>
      </w:r>
      <w:r>
        <w:t xml:space="preserve"> com e-mail feminino e </w:t>
      </w:r>
      <w:r>
        <w:rPr>
          <w:b/>
        </w:rPr>
        <w:t>1,25%</w:t>
      </w:r>
      <w:r>
        <w:t xml:space="preserve"> com e-mail masculino. Frente ao controle, as diferenças foram de </w:t>
      </w:r>
      <w:r>
        <w:rPr>
          <w:b/>
        </w:rPr>
        <w:t>+0,31</w:t>
      </w:r>
      <w:r>
        <w:t xml:space="preserve"> e </w:t>
      </w:r>
      <w:r>
        <w:rPr>
          <w:b/>
        </w:rPr>
        <w:t>+0,68 ponto percentual</w:t>
      </w:r>
      <w:r>
        <w:t>, respectivamente. Ambas as comparações com o controle foram estatisticamente significativas após ajuste de Bonferroni para dois testes. Não foi realizado contraste estatístico direto entre os dois e-mails.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vAlign w:val="center"/>
            <w:shd w:fill="12346A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Grupo</w:t>
            </w:r>
          </w:p>
        </w:tc>
        <w:tc>
          <w:tcPr>
            <w:tcW w:type="dxa" w:w="1632"/>
            <w:vAlign w:val="center"/>
            <w:shd w:fill="12346A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Registros</w:t>
            </w:r>
          </w:p>
        </w:tc>
        <w:tc>
          <w:tcPr>
            <w:tcW w:type="dxa" w:w="1632"/>
            <w:vAlign w:val="center"/>
            <w:shd w:fill="12346A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Compras</w:t>
            </w:r>
          </w:p>
        </w:tc>
        <w:tc>
          <w:tcPr>
            <w:tcW w:type="dxa" w:w="1632"/>
            <w:vAlign w:val="center"/>
            <w:shd w:fill="12346A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Conversão</w:t>
            </w:r>
          </w:p>
        </w:tc>
        <w:tc>
          <w:tcPr>
            <w:tcW w:type="dxa" w:w="1632"/>
            <w:vAlign w:val="center"/>
            <w:shd w:fill="12346A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Visitas</w:t>
            </w:r>
          </w:p>
        </w:tc>
        <w:tc>
          <w:tcPr>
            <w:tcW w:type="dxa" w:w="1632"/>
            <w:vAlign w:val="center"/>
            <w:shd w:fill="12346A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Vendas observadas USD</w:t>
            </w:r>
          </w:p>
        </w:tc>
      </w:tr>
      <w:tr>
        <w:tc>
          <w:tcPr>
            <w:tcW w:type="dxa" w:w="1632"/>
            <w:vAlign w:val="center"/>
            <w:shd w:fill="F0F4FA"/>
          </w:tcPr>
          <w:p>
            <w:pPr>
              <w:spacing w:after="40"/>
            </w:pPr>
            <w:r>
              <w:rPr>
                <w:sz w:val="18"/>
              </w:rPr>
              <w:t>Sem e-mail</w:t>
            </w:r>
          </w:p>
        </w:tc>
        <w:tc>
          <w:tcPr>
            <w:tcW w:type="dxa" w:w="1632"/>
            <w:vAlign w:val="center"/>
            <w:shd w:fill="F0F4FA"/>
          </w:tcPr>
          <w:p>
            <w:pPr>
              <w:spacing w:after="40"/>
            </w:pPr>
            <w:r>
              <w:rPr>
                <w:sz w:val="18"/>
              </w:rPr>
              <w:t>21.306</w:t>
            </w:r>
          </w:p>
        </w:tc>
        <w:tc>
          <w:tcPr>
            <w:tcW w:type="dxa" w:w="1632"/>
            <w:vAlign w:val="center"/>
            <w:shd w:fill="F0F4FA"/>
          </w:tcPr>
          <w:p>
            <w:pPr>
              <w:spacing w:after="40"/>
            </w:pPr>
            <w:r>
              <w:rPr>
                <w:sz w:val="18"/>
              </w:rPr>
              <w:t>122</w:t>
            </w:r>
          </w:p>
        </w:tc>
        <w:tc>
          <w:tcPr>
            <w:tcW w:type="dxa" w:w="1632"/>
            <w:vAlign w:val="center"/>
            <w:shd w:fill="F0F4FA"/>
          </w:tcPr>
          <w:p>
            <w:pPr>
              <w:spacing w:after="40"/>
            </w:pPr>
            <w:r>
              <w:rPr>
                <w:sz w:val="18"/>
              </w:rPr>
              <w:t>0,57%</w:t>
            </w:r>
          </w:p>
        </w:tc>
        <w:tc>
          <w:tcPr>
            <w:tcW w:type="dxa" w:w="1632"/>
            <w:vAlign w:val="center"/>
            <w:shd w:fill="F0F4FA"/>
          </w:tcPr>
          <w:p>
            <w:pPr>
              <w:spacing w:after="40"/>
            </w:pPr>
            <w:r>
              <w:rPr>
                <w:sz w:val="18"/>
              </w:rPr>
              <w:t>2.262</w:t>
            </w:r>
          </w:p>
        </w:tc>
        <w:tc>
          <w:tcPr>
            <w:tcW w:type="dxa" w:w="1632"/>
            <w:vAlign w:val="center"/>
            <w:shd w:fill="F0F4FA"/>
          </w:tcPr>
          <w:p>
            <w:pPr>
              <w:spacing w:after="40"/>
            </w:pPr>
            <w:r>
              <w:rPr>
                <w:sz w:val="18"/>
              </w:rPr>
              <w:t>13.908,33</w:t>
            </w:r>
          </w:p>
        </w:tc>
      </w:tr>
      <w:tr>
        <w:tc>
          <w:tcPr>
            <w:tcW w:type="dxa" w:w="1632"/>
            <w:vAlign w:val="center"/>
            <w:shd w:fill="FFFFFF"/>
          </w:tcPr>
          <w:p>
            <w:pPr>
              <w:spacing w:after="40"/>
            </w:pPr>
            <w:r>
              <w:rPr>
                <w:sz w:val="18"/>
              </w:rPr>
              <w:t>E-mail feminino</w:t>
            </w:r>
          </w:p>
        </w:tc>
        <w:tc>
          <w:tcPr>
            <w:tcW w:type="dxa" w:w="1632"/>
            <w:vAlign w:val="center"/>
            <w:shd w:fill="FFFFFF"/>
          </w:tcPr>
          <w:p>
            <w:pPr>
              <w:spacing w:after="40"/>
            </w:pPr>
            <w:r>
              <w:rPr>
                <w:sz w:val="18"/>
              </w:rPr>
              <w:t>21.387</w:t>
            </w:r>
          </w:p>
        </w:tc>
        <w:tc>
          <w:tcPr>
            <w:tcW w:type="dxa" w:w="1632"/>
            <w:vAlign w:val="center"/>
            <w:shd w:fill="FFFFFF"/>
          </w:tcPr>
          <w:p>
            <w:pPr>
              <w:spacing w:after="40"/>
            </w:pPr>
            <w:r>
              <w:rPr>
                <w:sz w:val="18"/>
              </w:rPr>
              <w:t>189</w:t>
            </w:r>
          </w:p>
        </w:tc>
        <w:tc>
          <w:tcPr>
            <w:tcW w:type="dxa" w:w="1632"/>
            <w:vAlign w:val="center"/>
            <w:shd w:fill="FFFFFF"/>
          </w:tcPr>
          <w:p>
            <w:pPr>
              <w:spacing w:after="40"/>
            </w:pPr>
            <w:r>
              <w:rPr>
                <w:sz w:val="18"/>
              </w:rPr>
              <w:t>0,88%</w:t>
            </w:r>
          </w:p>
        </w:tc>
        <w:tc>
          <w:tcPr>
            <w:tcW w:type="dxa" w:w="1632"/>
            <w:vAlign w:val="center"/>
            <w:shd w:fill="FFFFFF"/>
          </w:tcPr>
          <w:p>
            <w:pPr>
              <w:spacing w:after="40"/>
            </w:pPr>
            <w:r>
              <w:rPr>
                <w:sz w:val="18"/>
              </w:rPr>
              <w:t>3.238</w:t>
            </w:r>
          </w:p>
        </w:tc>
        <w:tc>
          <w:tcPr>
            <w:tcW w:type="dxa" w:w="1632"/>
            <w:vAlign w:val="center"/>
            <w:shd w:fill="FFFFFF"/>
          </w:tcPr>
          <w:p>
            <w:pPr>
              <w:spacing w:after="40"/>
            </w:pPr>
            <w:r>
              <w:rPr>
                <w:sz w:val="18"/>
              </w:rPr>
              <w:t>23.038,11</w:t>
            </w:r>
          </w:p>
        </w:tc>
      </w:tr>
      <w:tr>
        <w:tc>
          <w:tcPr>
            <w:tcW w:type="dxa" w:w="1632"/>
            <w:vAlign w:val="center"/>
            <w:shd w:fill="F0F4FA"/>
          </w:tcPr>
          <w:p>
            <w:pPr>
              <w:spacing w:after="40"/>
            </w:pPr>
            <w:r>
              <w:rPr>
                <w:sz w:val="18"/>
              </w:rPr>
              <w:t>E-mail masculino</w:t>
            </w:r>
          </w:p>
        </w:tc>
        <w:tc>
          <w:tcPr>
            <w:tcW w:type="dxa" w:w="1632"/>
            <w:vAlign w:val="center"/>
            <w:shd w:fill="F0F4FA"/>
          </w:tcPr>
          <w:p>
            <w:pPr>
              <w:spacing w:after="40"/>
            </w:pPr>
            <w:r>
              <w:rPr>
                <w:sz w:val="18"/>
              </w:rPr>
              <w:t>21.307</w:t>
            </w:r>
          </w:p>
        </w:tc>
        <w:tc>
          <w:tcPr>
            <w:tcW w:type="dxa" w:w="1632"/>
            <w:vAlign w:val="center"/>
            <w:shd w:fill="F0F4FA"/>
          </w:tcPr>
          <w:p>
            <w:pPr>
              <w:spacing w:after="40"/>
            </w:pPr>
            <w:r>
              <w:rPr>
                <w:sz w:val="18"/>
              </w:rPr>
              <w:t>267</w:t>
            </w:r>
          </w:p>
        </w:tc>
        <w:tc>
          <w:tcPr>
            <w:tcW w:type="dxa" w:w="1632"/>
            <w:vAlign w:val="center"/>
            <w:shd w:fill="F0F4FA"/>
          </w:tcPr>
          <w:p>
            <w:pPr>
              <w:spacing w:after="40"/>
            </w:pPr>
            <w:r>
              <w:rPr>
                <w:sz w:val="18"/>
              </w:rPr>
              <w:t>1,25%</w:t>
            </w:r>
          </w:p>
        </w:tc>
        <w:tc>
          <w:tcPr>
            <w:tcW w:type="dxa" w:w="1632"/>
            <w:vAlign w:val="center"/>
            <w:shd w:fill="F0F4FA"/>
          </w:tcPr>
          <w:p>
            <w:pPr>
              <w:spacing w:after="40"/>
            </w:pPr>
            <w:r>
              <w:rPr>
                <w:sz w:val="18"/>
              </w:rPr>
              <w:t>3.894</w:t>
            </w:r>
          </w:p>
        </w:tc>
        <w:tc>
          <w:tcPr>
            <w:tcW w:type="dxa" w:w="1632"/>
            <w:vAlign w:val="center"/>
            <w:shd w:fill="F0F4FA"/>
          </w:tcPr>
          <w:p>
            <w:pPr>
              <w:spacing w:after="40"/>
            </w:pPr>
            <w:r>
              <w:rPr>
                <w:sz w:val="18"/>
              </w:rPr>
              <w:t>30.311,69</w:t>
            </w:r>
          </w:p>
        </w:tc>
      </w:tr>
      <w:tr>
        <w:tc>
          <w:tcPr>
            <w:tcW w:type="dxa" w:w="1632"/>
            <w:vAlign w:val="center"/>
            <w:shd w:fill="FFFFFF"/>
          </w:tcPr>
          <w:p>
            <w:pPr>
              <w:spacing w:after="40"/>
            </w:pPr>
            <w:r>
              <w:rPr>
                <w:sz w:val="18"/>
              </w:rPr>
              <w:t>Total</w:t>
            </w:r>
          </w:p>
        </w:tc>
        <w:tc>
          <w:tcPr>
            <w:tcW w:type="dxa" w:w="1632"/>
            <w:vAlign w:val="center"/>
            <w:shd w:fill="FFFFFF"/>
          </w:tcPr>
          <w:p>
            <w:pPr>
              <w:spacing w:after="40"/>
            </w:pPr>
            <w:r>
              <w:rPr>
                <w:sz w:val="18"/>
              </w:rPr>
              <w:t>64.000</w:t>
            </w:r>
          </w:p>
        </w:tc>
        <w:tc>
          <w:tcPr>
            <w:tcW w:type="dxa" w:w="1632"/>
            <w:vAlign w:val="center"/>
            <w:shd w:fill="FFFFFF"/>
          </w:tcPr>
          <w:p>
            <w:pPr>
              <w:spacing w:after="40"/>
            </w:pPr>
            <w:r>
              <w:rPr>
                <w:sz w:val="18"/>
              </w:rPr>
              <w:t>578</w:t>
            </w:r>
          </w:p>
        </w:tc>
        <w:tc>
          <w:tcPr>
            <w:tcW w:type="dxa" w:w="1632"/>
            <w:vAlign w:val="center"/>
            <w:shd w:fill="FFFFFF"/>
          </w:tcPr>
          <w:p>
            <w:pPr>
              <w:spacing w:after="40"/>
            </w:pPr>
            <w:r>
              <w:rPr>
                <w:sz w:val="18"/>
              </w:rPr>
              <w:t>0,90%</w:t>
            </w:r>
          </w:p>
        </w:tc>
        <w:tc>
          <w:tcPr>
            <w:tcW w:type="dxa" w:w="1632"/>
            <w:vAlign w:val="center"/>
            <w:shd w:fill="FFFFFF"/>
          </w:tcPr>
          <w:p>
            <w:pPr>
              <w:spacing w:after="40"/>
            </w:pPr>
            <w:r>
              <w:rPr>
                <w:sz w:val="18"/>
              </w:rPr>
              <w:t>9.394</w:t>
            </w:r>
          </w:p>
        </w:tc>
        <w:tc>
          <w:tcPr>
            <w:tcW w:type="dxa" w:w="1632"/>
            <w:vAlign w:val="center"/>
            <w:shd w:fill="FFFFFF"/>
          </w:tcPr>
          <w:p>
            <w:pPr>
              <w:spacing w:after="40"/>
            </w:pPr>
            <w:r>
              <w:rPr>
                <w:sz w:val="18"/>
              </w:rPr>
              <w:t>67.258,13</w:t>
            </w:r>
          </w:p>
        </w:tc>
      </w:tr>
    </w:tbl>
    <w:p/>
    <w:p>
      <w:pPr>
        <w:pStyle w:val="Heading1"/>
      </w:pPr>
      <w:r>
        <w:t>Decisão e alcance</w:t>
      </w:r>
    </w:p>
    <w:p>
      <w:r>
        <w:t>O achado apoia considerar campanhas de e-mail em um novo teste operacional, com medição de custo, margem e identificação de clientes. Os valores acima são vendas observadas, não lucro. Sem custo da campanha ou margem, não é possível afirmar rentabilidade; sem ID individual, a independência entre registros não pode ser auditada. O estudo também não mede aberturas nem cliques.</w:t>
      </w:r>
    </w:p>
    <w:p>
      <w:pPr>
        <w:pStyle w:val="Heading1"/>
      </w:pPr>
      <w:r>
        <w:t>Entrega do projeto</w:t>
      </w:r>
    </w:p>
    <w:p>
      <w:r>
        <w:t xml:space="preserve">O percurso Bronze, Silver e Gold, a publicação no Azure, os indicadores no SQL Server e o painel Power BI foram documentados e reconciliados. O repositório inclui scripts Python, SQL, medidas DAX, captura do painel e arquivo </w:t>
      </w:r>
      <w:r>
        <w:t>.pbix</w:t>
      </w:r>
      <w:r>
        <w:t xml:space="preserve">. O executor final verifica as evidências acessíveis no ambiente local e registra pendências explicitamente. A análise técnica completa, inclusive fórmulas, intervalos de confiança e valores de p, consta em </w:t>
      </w:r>
      <w:r>
        <w:t>docs/relatorio_tecnico_final.md</w:t>
      </w:r>
      <w:r>
        <w:t>.</w:t>
      </w:r>
    </w:p>
    <w:p>
      <w:r/>
      <w:r>
        <w:rPr>
          <w:b/>
        </w:rPr>
        <w:t>Adendo de encerramento:</w:t>
      </w:r>
      <w:r>
        <w:t xml:space="preserve"> encerramos o projeto aqui por suficiência para a pergunta e para o objetivo de portfólio. Trabalhos futuros possíveis não são entregas pendentes deste escopo.</w:t>
      </w:r>
    </w:p>
    <w:sectPr w:rsidR="00FC693F" w:rsidRPr="0006063C" w:rsidSect="00034616">
      <w:footerReference w:type="default" r:id="rId9"/>
      <w:pgSz w:w="12240" w:h="15840"/>
      <w:pgMar w:top="1440" w:right="1224" w:bottom="144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Experimento CRM em varejo de moda  •  26/09/2026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  <w:pBdr>
        <w:bottom w:val="nil"/>
      </w:pBdr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  <w:pBdr>
        <w:bottom w:val="nil"/>
      </w:pBdr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240"/>
      <w:contextualSpacing/>
      <w:pBdr>
        <w:bottom w:val="nil"/>
      </w:pBdr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