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técnico final — experimento CRM em varejo de moda</w:t>
      </w:r>
    </w:p>
    <w:p>
      <w:r/>
      <w:r>
        <w:rPr>
          <w:b/>
        </w:rPr>
        <w:t>Data do fechamento:</w:t>
      </w:r>
      <w:r>
        <w:t xml:space="preserve"> 26/09/2026. </w:t>
      </w:r>
      <w:r>
        <w:rPr>
          <w:b/>
        </w:rPr>
        <w:t>Escopo:</w:t>
      </w:r>
      <w:r>
        <w:t xml:space="preserve"> análise do experimento público MineThatData, pipeline Bronze/Silver/Gold, Azure, SQL Server, A/B e painel Power BI. Valores monetários em USD.</w:t>
      </w:r>
    </w:p>
    <w:p>
      <w:pPr>
        <w:pStyle w:val="Heading1"/>
      </w:pPr>
      <w:r>
        <w:t>Decisão de encerramento</w:t>
      </w:r>
    </w:p>
    <w:p>
      <w:r>
        <w:t>O projeto foi encerrado neste recorte por decisão de escopo: as entregas atuais são suficientes para responder à pergunta de conversão de compra de cada e-mail frente ao grupo sem e-mail e demonstrar o fluxo de dados, reconciliação e comunicação executiva. Segmentação adicional, inferência entre os dois e-mails e modelos preditivos não fazem parte desta versão. Encerramento de escopo não equivale a dizer que a base suporta conclusões sobre lucro ou identidade de clientes.</w:t>
      </w:r>
    </w:p>
    <w:p>
      <w:pPr>
        <w:pStyle w:val="Heading1"/>
      </w:pPr>
      <w:r>
        <w:t>Fonte, granularidade e percurso</w:t>
      </w:r>
    </w:p>
    <w:p>
      <w:r>
        <w:t xml:space="preserve">Fonte: desafio Email Analytics da MineThatData, de Kevin Hillstrom. O conjunto tem 64.000 registros experimentais, sem ID de cliente. A chave técnica </w:t>
      </w:r>
      <w:r>
        <w:t>(source_sha256, source_row_number)</w:t>
      </w:r>
      <w:r>
        <w:t xml:space="preserve"> identifica a linha original. Os 6.562 registros com atributos idênticos aos de outra linha não foram eliminados, pois igualdade de atributos não prova repetição da pessoa. O CSV original foi preservado; a Silver aplica nomes em português e é armazenada em Parquet. A Gold contém uma dimensão de três grupos e uma fato de 64.000 registros. O projeto publicou as camadas no Azure e reconciliou Gold com SQL Server e Power BI. A verificação automatizada local e remota final é realizada por </w:t>
      </w:r>
      <w:r>
        <w:t>src/finalizar_projeto.py</w:t>
      </w:r>
      <w:r>
        <w:t>; seu resultado depende das evidências acessíveis no computador da execução.</w:t>
      </w:r>
    </w:p>
    <w:p>
      <w:pPr>
        <w:pStyle w:val="Heading1"/>
      </w:pPr>
      <w:r>
        <w:t>Definições e fórmulas</w:t>
      </w:r>
    </w:p>
    <w:p>
      <w:r>
        <w:t xml:space="preserve">Para grupo </w:t>
      </w:r>
      <w:r>
        <w:t>g</w:t>
      </w:r>
      <w:r>
        <w:t xml:space="preserve">, </w:t>
      </w:r>
      <w:r>
        <w:t>n_g</w:t>
      </w:r>
      <w:r>
        <w:t xml:space="preserve"> é o número de registros atribuídos; </w:t>
      </w:r>
      <w:r>
        <w:t>v_g</w:t>
      </w:r>
      <w:r>
        <w:t xml:space="preserve"> soma </w:t>
      </w:r>
      <w:r>
        <w:t>visit=1</w:t>
      </w:r>
      <w:r>
        <w:t xml:space="preserve">; </w:t>
      </w:r>
      <w:r>
        <w:t>c_g</w:t>
      </w:r>
      <w:r>
        <w:t xml:space="preserve"> soma </w:t>
      </w:r>
      <w:r>
        <w:t>conversion=1</w:t>
      </w:r>
      <w:r>
        <w:t xml:space="preserve">; </w:t>
      </w:r>
      <w:r>
        <w:t>s_g</w:t>
      </w:r>
      <w:r>
        <w:t xml:space="preserve"> soma </w:t>
      </w:r>
      <w:r>
        <w:t>spend</w:t>
      </w:r>
      <w:r>
        <w:t xml:space="preserve"> em USD. Taxa de visita = </w:t>
      </w:r>
      <w:r>
        <w:t>v_g / n_g</w:t>
      </w:r>
      <w:r>
        <w:t xml:space="preserve">. Taxa de conversão = </w:t>
      </w:r>
      <w:r>
        <w:t>c_g / n_g</w:t>
      </w:r>
      <w:r>
        <w:t xml:space="preserve"> (intenção de tratar), nunca </w:t>
      </w:r>
      <w:r>
        <w:t>c_g / v_g</w:t>
      </w:r>
      <w:r>
        <w:t xml:space="preserve">. Vendas por registro = </w:t>
      </w:r>
      <w:r>
        <w:t>s_g / n_g</w:t>
      </w:r>
      <w:r>
        <w:t xml:space="preserve">. Para tratamento </w:t>
      </w:r>
      <w:r>
        <w:t>t</w:t>
      </w:r>
      <w:r>
        <w:t xml:space="preserve"> e controle </w:t>
      </w:r>
      <w:r>
        <w:t>c</w:t>
      </w:r>
      <w:r>
        <w:t xml:space="preserve">, diferença em pontos percentuais = </w:t>
      </w:r>
      <w:r>
        <w:t>100 × (c_t/n_t − c_c/n_c)</w:t>
      </w:r>
      <w:r>
        <w:t xml:space="preserve">; uplift relativo = </w:t>
      </w:r>
      <w:r>
        <w:t>((c_t/n_t)/(c_c/n_c) − 1) × 100%</w:t>
      </w:r>
      <w:r>
        <w:t>, indefinido se a taxa do controle for zero. Os totais são recalculados pelas somas, não pela média simples das taxas de grupos.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  <w:vAlign w:val="center"/>
            <w:shd w:fill="12346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Grupo</w:t>
            </w:r>
          </w:p>
        </w:tc>
        <w:tc>
          <w:tcPr>
            <w:tcW w:type="dxa" w:w="1224"/>
            <w:vAlign w:val="center"/>
            <w:shd w:fill="12346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Registros n</w:t>
            </w:r>
          </w:p>
        </w:tc>
        <w:tc>
          <w:tcPr>
            <w:tcW w:type="dxa" w:w="1224"/>
            <w:vAlign w:val="center"/>
            <w:shd w:fill="12346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Visitas v</w:t>
            </w:r>
          </w:p>
        </w:tc>
        <w:tc>
          <w:tcPr>
            <w:tcW w:type="dxa" w:w="1224"/>
            <w:vAlign w:val="center"/>
            <w:shd w:fill="12346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Compras c</w:t>
            </w:r>
          </w:p>
        </w:tc>
        <w:tc>
          <w:tcPr>
            <w:tcW w:type="dxa" w:w="1224"/>
            <w:vAlign w:val="center"/>
            <w:shd w:fill="12346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Vendas USD s</w:t>
            </w:r>
          </w:p>
        </w:tc>
        <w:tc>
          <w:tcPr>
            <w:tcW w:type="dxa" w:w="1224"/>
            <w:vAlign w:val="center"/>
            <w:shd w:fill="12346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Visitas / n</w:t>
            </w:r>
          </w:p>
        </w:tc>
        <w:tc>
          <w:tcPr>
            <w:tcW w:type="dxa" w:w="1224"/>
            <w:vAlign w:val="center"/>
            <w:shd w:fill="12346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Compras / n</w:t>
            </w:r>
          </w:p>
        </w:tc>
        <w:tc>
          <w:tcPr>
            <w:tcW w:type="dxa" w:w="1224"/>
            <w:vAlign w:val="center"/>
            <w:shd w:fill="12346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USD / n</w:t>
            </w:r>
          </w:p>
        </w:tc>
      </w:tr>
      <w:tr>
        <w:tc>
          <w:tcPr>
            <w:tcW w:type="dxa" w:w="1224"/>
            <w:vAlign w:val="center"/>
            <w:shd w:fill="F0F4FA"/>
          </w:tcPr>
          <w:p>
            <w:pPr>
              <w:spacing w:after="40"/>
            </w:pPr>
            <w:r>
              <w:rPr>
                <w:sz w:val="16"/>
              </w:rPr>
              <w:t>Sem e-mail</w:t>
            </w:r>
          </w:p>
        </w:tc>
        <w:tc>
          <w:tcPr>
            <w:tcW w:type="dxa" w:w="1224"/>
            <w:vAlign w:val="center"/>
            <w:shd w:fill="F0F4FA"/>
          </w:tcPr>
          <w:p>
            <w:pPr>
              <w:spacing w:after="40"/>
            </w:pPr>
            <w:r>
              <w:rPr>
                <w:sz w:val="16"/>
              </w:rPr>
              <w:t>21.306</w:t>
            </w:r>
          </w:p>
        </w:tc>
        <w:tc>
          <w:tcPr>
            <w:tcW w:type="dxa" w:w="1224"/>
            <w:vAlign w:val="center"/>
            <w:shd w:fill="F0F4FA"/>
          </w:tcPr>
          <w:p>
            <w:pPr>
              <w:spacing w:after="40"/>
            </w:pPr>
            <w:r>
              <w:rPr>
                <w:sz w:val="16"/>
              </w:rPr>
              <w:t>2.262</w:t>
            </w:r>
          </w:p>
        </w:tc>
        <w:tc>
          <w:tcPr>
            <w:tcW w:type="dxa" w:w="1224"/>
            <w:vAlign w:val="center"/>
            <w:shd w:fill="F0F4FA"/>
          </w:tcPr>
          <w:p>
            <w:pPr>
              <w:spacing w:after="40"/>
            </w:pPr>
            <w:r>
              <w:rPr>
                <w:sz w:val="16"/>
              </w:rPr>
              <w:t>122</w:t>
            </w:r>
          </w:p>
        </w:tc>
        <w:tc>
          <w:tcPr>
            <w:tcW w:type="dxa" w:w="1224"/>
            <w:vAlign w:val="center"/>
            <w:shd w:fill="F0F4FA"/>
          </w:tcPr>
          <w:p>
            <w:pPr>
              <w:spacing w:after="40"/>
            </w:pPr>
            <w:r>
              <w:rPr>
                <w:sz w:val="16"/>
              </w:rPr>
              <w:t>13.908,33</w:t>
            </w:r>
          </w:p>
        </w:tc>
        <w:tc>
          <w:tcPr>
            <w:tcW w:type="dxa" w:w="1224"/>
            <w:vAlign w:val="center"/>
            <w:shd w:fill="F0F4FA"/>
          </w:tcPr>
          <w:p>
            <w:pPr>
              <w:spacing w:after="40"/>
            </w:pPr>
            <w:r>
              <w:rPr>
                <w:sz w:val="16"/>
              </w:rPr>
              <w:t>10,6167%</w:t>
            </w:r>
          </w:p>
        </w:tc>
        <w:tc>
          <w:tcPr>
            <w:tcW w:type="dxa" w:w="1224"/>
            <w:vAlign w:val="center"/>
            <w:shd w:fill="F0F4FA"/>
          </w:tcPr>
          <w:p>
            <w:pPr>
              <w:spacing w:after="40"/>
            </w:pPr>
            <w:r>
              <w:rPr>
                <w:sz w:val="16"/>
              </w:rPr>
              <w:t>0,572609%</w:t>
            </w:r>
          </w:p>
        </w:tc>
        <w:tc>
          <w:tcPr>
            <w:tcW w:type="dxa" w:w="1224"/>
            <w:vAlign w:val="center"/>
            <w:shd w:fill="F0F4FA"/>
          </w:tcPr>
          <w:p>
            <w:pPr>
              <w:spacing w:after="40"/>
            </w:pPr>
            <w:r>
              <w:rPr>
                <w:sz w:val="16"/>
              </w:rPr>
              <w:t>0,652789</w:t>
            </w:r>
          </w:p>
        </w:tc>
      </w:tr>
      <w:tr>
        <w:tc>
          <w:tcPr>
            <w:tcW w:type="dxa" w:w="1224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E-mail feminino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21.387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3.238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189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23.038,11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15,1400%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0,883714%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1,077201</w:t>
            </w:r>
          </w:p>
        </w:tc>
      </w:tr>
      <w:tr>
        <w:tc>
          <w:tcPr>
            <w:tcW w:type="dxa" w:w="1224"/>
            <w:vAlign w:val="center"/>
            <w:shd w:fill="F0F4FA"/>
          </w:tcPr>
          <w:p>
            <w:pPr>
              <w:spacing w:after="40"/>
            </w:pPr>
            <w:r>
              <w:rPr>
                <w:sz w:val="16"/>
              </w:rPr>
              <w:t>E-mail masculino</w:t>
            </w:r>
          </w:p>
        </w:tc>
        <w:tc>
          <w:tcPr>
            <w:tcW w:type="dxa" w:w="1224"/>
            <w:vAlign w:val="center"/>
            <w:shd w:fill="F0F4FA"/>
          </w:tcPr>
          <w:p>
            <w:pPr>
              <w:spacing w:after="40"/>
            </w:pPr>
            <w:r>
              <w:rPr>
                <w:sz w:val="16"/>
              </w:rPr>
              <w:t>21.307</w:t>
            </w:r>
          </w:p>
        </w:tc>
        <w:tc>
          <w:tcPr>
            <w:tcW w:type="dxa" w:w="1224"/>
            <w:vAlign w:val="center"/>
            <w:shd w:fill="F0F4FA"/>
          </w:tcPr>
          <w:p>
            <w:pPr>
              <w:spacing w:after="40"/>
            </w:pPr>
            <w:r>
              <w:rPr>
                <w:sz w:val="16"/>
              </w:rPr>
              <w:t>3.894</w:t>
            </w:r>
          </w:p>
        </w:tc>
        <w:tc>
          <w:tcPr>
            <w:tcW w:type="dxa" w:w="1224"/>
            <w:vAlign w:val="center"/>
            <w:shd w:fill="F0F4FA"/>
          </w:tcPr>
          <w:p>
            <w:pPr>
              <w:spacing w:after="40"/>
            </w:pPr>
            <w:r>
              <w:rPr>
                <w:sz w:val="16"/>
              </w:rPr>
              <w:t>267</w:t>
            </w:r>
          </w:p>
        </w:tc>
        <w:tc>
          <w:tcPr>
            <w:tcW w:type="dxa" w:w="1224"/>
            <w:vAlign w:val="center"/>
            <w:shd w:fill="F0F4FA"/>
          </w:tcPr>
          <w:p>
            <w:pPr>
              <w:spacing w:after="40"/>
            </w:pPr>
            <w:r>
              <w:rPr>
                <w:sz w:val="16"/>
              </w:rPr>
              <w:t>30.311,69</w:t>
            </w:r>
          </w:p>
        </w:tc>
        <w:tc>
          <w:tcPr>
            <w:tcW w:type="dxa" w:w="1224"/>
            <w:vAlign w:val="center"/>
            <w:shd w:fill="F0F4FA"/>
          </w:tcPr>
          <w:p>
            <w:pPr>
              <w:spacing w:after="40"/>
            </w:pPr>
            <w:r>
              <w:rPr>
                <w:sz w:val="16"/>
              </w:rPr>
              <w:t>18,2757%</w:t>
            </w:r>
          </w:p>
        </w:tc>
        <w:tc>
          <w:tcPr>
            <w:tcW w:type="dxa" w:w="1224"/>
            <w:vAlign w:val="center"/>
            <w:shd w:fill="F0F4FA"/>
          </w:tcPr>
          <w:p>
            <w:pPr>
              <w:spacing w:after="40"/>
            </w:pPr>
            <w:r>
              <w:rPr>
                <w:sz w:val="16"/>
              </w:rPr>
              <w:t>1,253109%</w:t>
            </w:r>
          </w:p>
        </w:tc>
        <w:tc>
          <w:tcPr>
            <w:tcW w:type="dxa" w:w="1224"/>
            <w:vAlign w:val="center"/>
            <w:shd w:fill="F0F4FA"/>
          </w:tcPr>
          <w:p>
            <w:pPr>
              <w:spacing w:after="40"/>
            </w:pPr>
            <w:r>
              <w:rPr>
                <w:sz w:val="16"/>
              </w:rPr>
              <w:t>1,422616</w:t>
            </w:r>
          </w:p>
        </w:tc>
      </w:tr>
      <w:tr>
        <w:tc>
          <w:tcPr>
            <w:tcW w:type="dxa" w:w="1224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Total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64.000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9.394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578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67.258,13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14,678125%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0,903125%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1,050908</w:t>
            </w:r>
          </w:p>
        </w:tc>
      </w:tr>
    </w:tbl>
    <w:p/>
    <w:p>
      <w:r>
        <w:t xml:space="preserve">Exemplo feminino: </w:t>
      </w:r>
      <w:r>
        <w:t>189 / 21.387 = 0,008837144</w:t>
      </w:r>
      <w:r>
        <w:t xml:space="preserve">; controle: </w:t>
      </w:r>
      <w:r>
        <w:t>122 / 21.306 = 0,005726087</w:t>
      </w:r>
      <w:r>
        <w:t xml:space="preserve">. Logo, </w:t>
      </w:r>
      <w:r>
        <w:t>(0,008837144 − 0,005726087) × 100 = 0,31110575 pp</w:t>
      </w:r>
      <w:r>
        <w:t xml:space="preserve"> e </w:t>
      </w:r>
      <w:r>
        <w:t>(0,008837144 / 0,005726087 − 1) × 100 = 54,3313%</w:t>
      </w:r>
      <w:r>
        <w:t xml:space="preserve">. Masculino: </w:t>
      </w:r>
      <w:r>
        <w:t>267 / 21.307 = 0,012531093</w:t>
      </w:r>
      <w:r>
        <w:t xml:space="preserve">; diferença </w:t>
      </w:r>
      <w:r>
        <w:t>0,68050065 pp</w:t>
      </w:r>
      <w:r>
        <w:t xml:space="preserve"> e uplift </w:t>
      </w:r>
      <w:r>
        <w:t>118,8422%</w:t>
      </w:r>
      <w:r>
        <w:t>. O painel arredonda para 0,88%, 0,57%, 1,25%, +0,31 pp e +0,68 pp.</w:t>
      </w:r>
    </w:p>
    <w:p>
      <w:pPr>
        <w:pStyle w:val="Heading1"/>
      </w:pPr>
      <w:r>
        <w:t>Inferência A/B</w:t>
      </w:r>
    </w:p>
    <w:p>
      <w:r>
        <w:t xml:space="preserve">O contrato analítico definiu duas comparações bilaterais, cada e-mail contra sem e-mail. Para cada uma, </w:t>
      </w:r>
      <w:r>
        <w:t>H0: p_t = p_c</w:t>
      </w:r>
      <w:r>
        <w:t xml:space="preserve">; </w:t>
      </w:r>
      <w:r>
        <w:t>H1: p_t ≠ p_c</w:t>
      </w:r>
      <w:r>
        <w:t xml:space="preserve">. O teste z usa a proporção combinada </w:t>
      </w:r>
      <w:r>
        <w:t>p_pool=(c_t+c_c)/(n_t+n_c)</w:t>
      </w:r>
      <w:r>
        <w:t xml:space="preserve">, erro sob H0 </w:t>
      </w:r>
      <w:r>
        <w:t>sqrt[p_pool(1−p_pool)(1/n_t+1/n_c)]</w:t>
      </w:r>
      <w:r>
        <w:t xml:space="preserve">, </w:t>
      </w:r>
      <w:r>
        <w:t>z=(p_t−p_c)/EP_H0</w:t>
      </w:r>
      <w:r>
        <w:t xml:space="preserve"> e p bilateral </w:t>
      </w:r>
      <w:r>
        <w:t>2 Φ(−|z|)</w:t>
      </w:r>
      <w:r>
        <w:t xml:space="preserve">. Os dois p brutos foram multiplicados por 2 (Bonferroni, limitados a 1), com erro familiar de 5%. O IC normal de 97,5% usa erro não combinado </w:t>
      </w:r>
      <w:r>
        <w:t>sqrt[p_t(1−p_t)/n_t+p_c(1−p_c)/n_c]</w:t>
      </w:r>
      <w:r>
        <w:t xml:space="preserve"> e crítico normal </w:t>
      </w:r>
      <w:r>
        <w:t>Φ⁻¹(0,9875)</w:t>
      </w:r>
      <w:r>
        <w:t xml:space="preserve">. Cada braço tem pelo menos cinco compras e cinco não compras. Valores abaixo foram reproduzidos do algoritmo de </w:t>
      </w:r>
      <w:r>
        <w:t>src/06_analisar_ab.py</w:t>
      </w:r>
      <w:r>
        <w:t xml:space="preserve"> com as contagens reconciliadas.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vAlign w:val="center"/>
            <w:shd w:fill="12346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Comparação com controle</w:t>
            </w:r>
          </w:p>
        </w:tc>
        <w:tc>
          <w:tcPr>
            <w:tcW w:type="dxa" w:w="1399"/>
            <w:vAlign w:val="center"/>
            <w:shd w:fill="12346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Diferença pp</w:t>
            </w:r>
          </w:p>
        </w:tc>
        <w:tc>
          <w:tcPr>
            <w:tcW w:type="dxa" w:w="1399"/>
            <w:vAlign w:val="center"/>
            <w:shd w:fill="12346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Uplift relativo</w:t>
            </w:r>
          </w:p>
        </w:tc>
        <w:tc>
          <w:tcPr>
            <w:tcW w:type="dxa" w:w="1399"/>
            <w:vAlign w:val="center"/>
            <w:shd w:fill="12346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z</w:t>
            </w:r>
          </w:p>
        </w:tc>
        <w:tc>
          <w:tcPr>
            <w:tcW w:type="dxa" w:w="1399"/>
            <w:vAlign w:val="center"/>
            <w:shd w:fill="12346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IC 97,5% da diferença pp</w:t>
            </w:r>
          </w:p>
        </w:tc>
        <w:tc>
          <w:tcPr>
            <w:tcW w:type="dxa" w:w="1399"/>
            <w:vAlign w:val="center"/>
            <w:shd w:fill="12346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 bruto</w:t>
            </w:r>
          </w:p>
        </w:tc>
        <w:tc>
          <w:tcPr>
            <w:tcW w:type="dxa" w:w="1399"/>
            <w:vAlign w:val="center"/>
            <w:shd w:fill="12346A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 Bonferroni</w:t>
            </w:r>
          </w:p>
        </w:tc>
      </w:tr>
      <w:tr>
        <w:tc>
          <w:tcPr>
            <w:tcW w:type="dxa" w:w="1399"/>
            <w:vAlign w:val="center"/>
            <w:shd w:fill="F0F4FA"/>
          </w:tcPr>
          <w:p>
            <w:pPr>
              <w:spacing w:after="40"/>
            </w:pPr>
            <w:r>
              <w:rPr>
                <w:sz w:val="16"/>
              </w:rPr>
              <w:t>E-mail feminino</w:t>
            </w:r>
          </w:p>
        </w:tc>
        <w:tc>
          <w:tcPr>
            <w:tcW w:type="dxa" w:w="1399"/>
            <w:vAlign w:val="center"/>
            <w:shd w:fill="F0F4FA"/>
          </w:tcPr>
          <w:p>
            <w:pPr>
              <w:spacing w:after="40"/>
            </w:pPr>
            <w:r>
              <w:rPr>
                <w:sz w:val="16"/>
              </w:rPr>
              <w:t>+0,311106</w:t>
            </w:r>
          </w:p>
        </w:tc>
        <w:tc>
          <w:tcPr>
            <w:tcW w:type="dxa" w:w="1399"/>
            <w:vAlign w:val="center"/>
            <w:shd w:fill="F0F4FA"/>
          </w:tcPr>
          <w:p>
            <w:pPr>
              <w:spacing w:after="40"/>
            </w:pPr>
            <w:r>
              <w:rPr>
                <w:sz w:val="16"/>
              </w:rPr>
              <w:t>+54,3313%</w:t>
            </w:r>
          </w:p>
        </w:tc>
        <w:tc>
          <w:tcPr>
            <w:tcW w:type="dxa" w:w="1399"/>
            <w:vAlign w:val="center"/>
            <w:shd w:fill="F0F4FA"/>
          </w:tcPr>
          <w:p>
            <w:pPr>
              <w:spacing w:after="40"/>
            </w:pPr>
            <w:r>
              <w:rPr>
                <w:sz w:val="16"/>
              </w:rPr>
              <w:t>3,77956</w:t>
            </w:r>
          </w:p>
        </w:tc>
        <w:tc>
          <w:tcPr>
            <w:tcW w:type="dxa" w:w="1399"/>
            <w:vAlign w:val="center"/>
            <w:shd w:fill="F0F4FA"/>
          </w:tcPr>
          <w:p>
            <w:pPr>
              <w:spacing w:after="40"/>
            </w:pPr>
            <w:r>
              <w:rPr>
                <w:sz w:val="16"/>
              </w:rPr>
              <w:t>[+0,126715; +0,495496]</w:t>
            </w:r>
          </w:p>
        </w:tc>
        <w:tc>
          <w:tcPr>
            <w:tcW w:type="dxa" w:w="1399"/>
            <w:vAlign w:val="center"/>
            <w:shd w:fill="F0F4FA"/>
          </w:tcPr>
          <w:p>
            <w:pPr>
              <w:spacing w:after="40"/>
            </w:pPr>
            <w:r>
              <w:rPr>
                <w:sz w:val="16"/>
              </w:rPr>
              <w:t>0,000157105</w:t>
            </w:r>
          </w:p>
        </w:tc>
        <w:tc>
          <w:tcPr>
            <w:tcW w:type="dxa" w:w="1399"/>
            <w:vAlign w:val="center"/>
            <w:shd w:fill="F0F4FA"/>
          </w:tcPr>
          <w:p>
            <w:pPr>
              <w:spacing w:after="40"/>
            </w:pPr>
            <w:r>
              <w:rPr>
                <w:sz w:val="16"/>
              </w:rPr>
              <w:t>0,000314210</w:t>
            </w:r>
          </w:p>
        </w:tc>
      </w:tr>
      <w:tr>
        <w:tc>
          <w:tcPr>
            <w:tcW w:type="dxa" w:w="1399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E-mail masculino</w:t>
            </w:r>
          </w:p>
        </w:tc>
        <w:tc>
          <w:tcPr>
            <w:tcW w:type="dxa" w:w="1399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+0,680501</w:t>
            </w:r>
          </w:p>
        </w:tc>
        <w:tc>
          <w:tcPr>
            <w:tcW w:type="dxa" w:w="1399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+118,8422%</w:t>
            </w:r>
          </w:p>
        </w:tc>
        <w:tc>
          <w:tcPr>
            <w:tcW w:type="dxa" w:w="1399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7,38511</w:t>
            </w:r>
          </w:p>
        </w:tc>
        <w:tc>
          <w:tcPr>
            <w:tcW w:type="dxa" w:w="1399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[+0,474101; +0,886900]</w:t>
            </w:r>
          </w:p>
        </w:tc>
        <w:tc>
          <w:tcPr>
            <w:tcW w:type="dxa" w:w="1399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1,52322 × 10⁻¹³</w:t>
            </w:r>
          </w:p>
        </w:tc>
        <w:tc>
          <w:tcPr>
            <w:tcW w:type="dxa" w:w="1399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3,04645 × 10⁻¹³</w:t>
            </w:r>
          </w:p>
        </w:tc>
      </w:tr>
    </w:tbl>
    <w:p/>
    <w:p>
      <w:r>
        <w:t>Ambos os p ajustados são menores que 0,05. Isto é evidência estatística nas duas comparações especificadas, sob a suposição de unidades independentes e atribuição adequada. Não houve teste masculino versus feminino. Visita e vendas por registro são descritivas; não se atribuiu significância a elas. O gasto representa vendas observadas, não custo, margem ou lucro.</w:t>
      </w:r>
    </w:p>
    <w:p>
      <w:pPr>
        <w:pStyle w:val="Heading1"/>
      </w:pPr>
      <w:r>
        <w:t>Reconciliação e evidências</w:t>
      </w:r>
    </w:p>
    <w:p>
      <w:r>
        <w:t xml:space="preserve">A consulta </w:t>
      </w:r>
      <w:r>
        <w:t>sql/02_reconciliar_kpis_power_bi.sql</w:t>
      </w:r>
      <w:r>
        <w:t xml:space="preserve"> produziu os grupos e totais acima. O documento </w:t>
      </w:r>
      <w:r>
        <w:t>docs/validacoes/reconciliacao_sql_power_bi_2026-09-25.md</w:t>
      </w:r>
      <w:r>
        <w:t xml:space="preserve"> registra a comparação com a tabela e os cartões Power BI. </w:t>
      </w:r>
      <w:r>
        <w:t>power_bi/medidas_crm.dax</w:t>
      </w:r>
      <w:r>
        <w:t xml:space="preserve"> documenta as fórmulas e </w:t>
      </w:r>
      <w:r>
        <w:t>power_bi/experimento_crm_varejo_moda.pbix</w:t>
      </w:r>
      <w:r>
        <w:t xml:space="preserve"> contém o painel. </w:t>
      </w:r>
      <w:r>
        <w:t>docs/visao_executiva_power_bi.png</w:t>
      </w:r>
      <w:r>
        <w:t xml:space="preserve"> é a captura publicada. Os números da interface foram conferidos pelo responsável; o relatório SQL/Power BI não substitui uma consulta automatizada em tempo real.</w:t>
      </w:r>
    </w:p>
    <w:p>
      <w:r>
        <w:t xml:space="preserve">O executor </w:t>
      </w:r>
      <w:r>
        <w:t>src/finalizar_projeto.py</w:t>
      </w:r>
      <w:r>
        <w:t xml:space="preserve"> verifica locais, tamanhos e SHA-256 de Silver/Gold, agregados da auditoria A/B, recibos Azure e SQL, arquivos finais e inventário Git. Quando a Azure CLI está acessível, confere presença e tamanho dos blobs Gold; os hashes remotos permanecem respaldados pelos recibos de publicação, não são baixados novamente pelo executor. Ele não consulta a visibilidade do repositório GitHub nem executa SQL ao vivo. Se alguma evidência faltar, registra </w:t>
      </w:r>
      <w:r>
        <w:t>blocked</w:t>
      </w:r>
      <w:r>
        <w:t xml:space="preserve">. Rodar </w:t>
      </w:r>
      <w:r>
        <w:t>git fetch origin</w:t>
      </w:r>
      <w:r>
        <w:t xml:space="preserve"> antes da auditoria para atualizar a referência remota local. O recibo fica fora do Git em </w:t>
      </w:r>
      <w:r>
        <w:t>docs/execucoes/FINAL01/finalizacao.json</w:t>
      </w:r>
      <w:r>
        <w:t>.</w:t>
      </w:r>
    </w:p>
    <w:p>
      <w:pPr>
        <w:pStyle w:val="Heading1"/>
      </w:pPr>
      <w:r>
        <w:t>Limitações e interpretação</w:t>
      </w:r>
    </w:p>
    <w:p>
      <w:r>
        <w:t>Não há identificador de pessoa, abertura, clique, custo de envio, margem nem data individual. Assim, não se consegue auditar recontatos ou independência entre linhas, atribuir mecanismo de resposta, estimar lucro/ROI ou fazer análise temporal individual. A fonte descreve um experimento, mas a atribuição individual não é verificável neste arquivo. A leitura se limita ao contraste observável entre os grupos e aos testes previamente especificados.</w:t>
      </w:r>
    </w:p>
    <w:p>
      <w:pPr>
        <w:pStyle w:val="Heading1"/>
      </w:pPr>
      <w:r>
        <w:t>Registro de tempo</w:t>
      </w:r>
    </w:p>
    <w:p>
      <w:r>
        <w:t xml:space="preserve">O primeiro registro visual disponível desta sessão em 26/09/2026 tem carimbo de arquivo </w:t>
      </w:r>
      <w:r>
        <w:rPr>
          <w:b/>
        </w:rPr>
        <w:t>17:16:22</w:t>
      </w:r>
      <w:r>
        <w:t xml:space="preserve"> (America/Sao_Paulo). Ele é um marco aproximado da retomada, não a hora exata de envio da primeira mensagem. O horário final deve ser preenchido quando a sessão terminar; pausas de hoje não foram informadas. Ver </w:t>
      </w:r>
      <w:r>
        <w:t>docs/registro_diario.md</w:t>
      </w:r>
      <w:r>
        <w:t>.</w:t>
      </w:r>
    </w:p>
    <w:p>
      <w:pPr>
        <w:pStyle w:val="Heading1"/>
      </w:pPr>
      <w:r>
        <w:t>Referências internas</w:t>
      </w:r>
    </w:p>
    <w:p>
      <w:r>
        <w:t xml:space="preserve">- </w:t>
      </w:r>
      <w:r>
        <w:t>metadata/contrato_analitico.md</w:t>
      </w:r>
      <w:r>
        <w:t>: hipóteses e denominadores.</w:t>
      </w:r>
    </w:p>
    <w:p>
      <w:r>
        <w:t xml:space="preserve">- </w:t>
      </w:r>
      <w:r>
        <w:t>src/06_analisar_ab.py</w:t>
      </w:r>
      <w:r>
        <w:t>: cálculos inferenciais.</w:t>
      </w:r>
    </w:p>
    <w:p>
      <w:r>
        <w:t xml:space="preserve">- </w:t>
      </w:r>
      <w:r>
        <w:t>docs/validacoes/reconciliacao_sql_power_bi_2026-09-25.md</w:t>
      </w:r>
      <w:r>
        <w:t>: totais e conferência.</w:t>
      </w:r>
    </w:p>
    <w:p>
      <w:r>
        <w:t xml:space="preserve">- </w:t>
      </w:r>
      <w:r>
        <w:t>power_bi/medidas_crm.dax</w:t>
      </w:r>
      <w:r>
        <w:t>: medidas do painel.</w:t>
      </w:r>
    </w:p>
    <w:p>
      <w:r>
        <w:t xml:space="preserve">- </w:t>
      </w:r>
      <w:r>
        <w:t>docs/visao_executiva_power_bi.md</w:t>
      </w:r>
      <w:r>
        <w:t>: narrativa do painel.</w:t>
      </w:r>
    </w:p>
    <w:sectPr w:rsidR="00FC693F" w:rsidRPr="0006063C" w:rsidSect="00034616">
      <w:footerReference w:type="default" r:id="rId9"/>
      <w:pgSz w:w="12240" w:h="15840"/>
      <w:pgMar w:top="1440" w:right="1224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Experimento CRM em varejo de moda  •  26/09/2026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  <w:pBdr>
        <w:bottom w:val="nil"/>
      </w:pBdr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  <w:pBdr>
        <w:bottom w:val="nil"/>
      </w:pBdr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  <w:pBdr>
        <w:bottom w:val="nil"/>
      </w:pBdr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