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executivo</w:t>
      </w:r>
    </w:p>
    <w:p>
      <w:pPr>
        <w:pStyle w:val="Subtitle"/>
      </w:pPr>
      <w:r>
        <w:t>Potencial de mercado e expansão comercial • Referências para prospecção • 05/10/2026</w:t>
      </w:r>
    </w:p>
    <w:p>
      <w:pPr>
        <w:pStyle w:val="Heading1"/>
      </w:pPr>
      <w:r>
        <w:t>Decisão recomendada</w:t>
      </w:r>
    </w:p>
    <w:p>
      <w:pPr>
        <w:keepLines/>
      </w:pPr>
      <w:r>
        <w:t>Começar a prospecção pelos polos Franca e Barretos, que concentram 68,55% do varejo especializado e 65,70% do ampliado, e desenvolver em paralelo o circuito de Orlândia, Morro Agudo, Sales Oliveira e Nuporanga, cuja viagem exige a menor receita de equilíbrio simulada. Manter todas as cidades no plano e consolidar pedidos antes de mobilizar os circuitos mais distantes.</w:t>
      </w:r>
    </w:p>
    <w:p>
      <w:pPr>
        <w:pStyle w:val="Heading1"/>
      </w:pPr>
      <w:r>
        <w:t>O que a base permite afirmar</w:t>
      </w:r>
    </w:p>
    <w:p>
      <w:pPr>
        <w:keepLines/>
      </w:pPr>
      <w:r>
        <w:t>São 12 municípios e 721.754 habitantes em 2024. Franca tem 690 unidades especializadas e 1.189 no ampliado; Barretos tem 295 e 512, respectivamente. Esses números indicam maior universo para prospecção, sem comprovar clientes disponíveis, volume de compra ou ausência de concorrentes. A qualidade do produto pode orientar a abordagem comercial e deve ser demonstrada ao comprador.</w:t>
      </w:r>
    </w:p>
    <w:p>
      <w:pPr>
        <w:keepLines/>
      </w:pPr>
      <w:r>
        <w:t>São comparados dois recortes de 2024: varejo especializado de alimentos, bebidas e fumo (1.437 unidades) e varejo alimentar ampliado (2.589), que inclui o especializado, supermercados, hipermercados, minimercados e mercearias. As 1.152 unidades adicionais (+80,17%) refletem a ampliação das categorias, não crescimento temporal. A base não informa tamanho das redes, compras ou disponibilidade para novos fornecedores. Renda de 2022 e densidade contextualizam os mercados, sem prever vendas.</w:t>
      </w:r>
    </w:p>
    <w:p>
      <w:pPr>
        <w:pStyle w:val="Heading1"/>
      </w:pPr>
      <w:r>
        <w:t>Cinco circuitos como referência para pedidos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Cidades do circuito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Especializado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Ampliado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Km ida e volta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Equilíbrio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Cristais Paulista / Franca / Ipuã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733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1.288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339,7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R$ 1.335,60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Barretos / Guaíra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364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678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328,6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R$ 1.337,52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Sales Oliveira / Nuporanga / Morro Agudo / Orlândia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201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372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233,8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R$ 933,58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Frutal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113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190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419,1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R$ 1.726,42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Planura / Colômbia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26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61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382,6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R$ 1.599,53</w:t>
            </w:r>
          </w:p>
        </w:tc>
      </w:tr>
    </w:tbl>
    <w:p>
      <w:pPr>
        <w:keepLines/>
      </w:pPr>
      <w:r>
        <w:t>Todos os circuitos partem e retornam a Ribeirão Preto. As sequências são sugestões para orientar o vendedor; a programação de entregas e as rotas fixas permanecem sob responsabilidade do gerente do centro de distribuição. Os agrupamentos de Franca e Barretos somam 76,34% do especializado e 75,94% do ampliado. A ordem dos cinco circuitos permanece igual; custos e equilíbrio não mudam porque os trajetos e parâmetros foram mantidos.</w:t>
      </w:r>
    </w:p>
    <w:p>
      <w:pPr>
        <w:pStyle w:val="Heading1"/>
      </w:pPr>
      <w:r>
        <w:t>Como interpretar o mínimo de vendas</w:t>
      </w:r>
    </w:p>
    <w:p>
      <w:pPr>
        <w:keepLines/>
      </w:pPr>
      <w:r>
        <w:t>A referência usa gasolina a R$ 6,70/l, consumo hipotético de 10 km/l com carga, desgaste de R$ 0,20/km, margem de contribuição de 25% e pedágios estimados não homologados. O faturamento de equilíbrio é o custo da viagem dividido pela margem. No circuito Sales Oliveira / Nuporanga / Morro Agudo / Orlândia, R$ 933,58 de vendas gerariam aproximadamente R$ 233,39 de contribuição para cobrir o custo incremental modelado.</w:t>
      </w:r>
    </w:p>
    <w:p>
      <w:pPr>
        <w:keepLines/>
      </w:pPr>
      <w:r>
        <w:t>O mínimo é do conjunto da viagem, não de cada cidade. Um pedido maior pode ajudar a viabilizar entregas menores no mesmo circuito. A viagem só passa a gerar excedente sobre o custo modelado quando a contribuição supera esse valor; custos não incluídos e lucro desejado exigem faturamento adicional. O motorista e o pagamento do veículo são fixos e não entraram nessa referência incremental.</w:t>
      </w:r>
    </w:p>
    <w:p>
      <w:pPr>
        <w:pStyle w:val="Heading1"/>
      </w:pPr>
      <w:r>
        <w:t>Prioridade de desenvolvimento comercial</w:t>
      </w:r>
    </w:p>
    <w:p>
      <w:pPr>
        <w:keepLines/>
      </w:pPr>
      <w:r>
        <w:t>1. Polos de escala: formar carteira e pedidos em Franca e Barretos, agregando Cristais Paulista, Ipuã e Guaíra quando houver oportunidade no circuito. O maior número de estabelecimentos amplia o universo de abordagem, mas não garante conversão.</w:t>
      </w:r>
    </w:p>
    <w:p>
      <w:pPr>
        <w:keepLines/>
      </w:pPr>
      <w:r>
        <w:t>2. Circuito próximo: trabalhar Orlândia e Morro Agudo com Sales Oliveira e Nuporanga. Esse agrupamento reúne 201 unidades especializadas e 372 no ampliado e o menor equilíbrio de referência, R$ 933,58. É uma alternativa para desenvolver presença regional e ajustar o processo comercial.</w:t>
      </w:r>
    </w:p>
    <w:p>
      <w:pPr>
        <w:keepLines/>
      </w:pPr>
      <w:r>
        <w:t>3. Expansão condicionada: atender Frutal, Planura e Colômbia mediante consolidação de pedidos e avaliação do gestor. Não excluir os mercados menores; buscar paradas que ampliem a presença da marca e possam gerar novas indicações, sem assumir que esse efeito ocorrerá.</w:t>
      </w:r>
    </w:p>
    <w:p>
      <w:pPr>
        <w:pStyle w:val="Heading1"/>
      </w:pPr>
      <w:r>
        <w:t>Cuidados para a decisão</w:t>
      </w:r>
    </w:p>
    <w:p>
      <w:pPr>
        <w:keepLines/>
      </w:pPr>
      <w:r>
        <w:t>Os custos são simulações, não orçamentos homologados. O consumo da Fiorino nova a gasolina, sem refrigeração e com carga máxima de saída ainda precisa ser medido. Pedágios, manutenção, margem real e condições de conservação da carga precisam de validação operacional. A renda é de 2022 e os estabelecimentos e a população são de 2024.</w:t>
      </w:r>
    </w:p>
    <w:p>
      <w:pPr>
        <w:keepLines/>
      </w:pPr>
      <w:r>
        <w:t>Os 27 cenários permitem testar consumo de 8 a 12 km/l, desgaste de R$ 0,10 a R$ 0,30/km e margem de 15% a 35%. As receitas de equilíbrio variam bastante com essas hipóteses. Usar o cenário compatível com a operação; não somar cenários e não tratar o número de estabelecimentos como carteira de clientes.</w:t>
      </w:r>
    </w:p>
    <w:p>
      <w:pPr>
        <w:pStyle w:val="Heading1"/>
      </w:pPr>
      <w:r>
        <w:t>Próximas ações para o vendedor e o gestor</w:t>
      </w:r>
    </w:p>
    <w:p>
      <w:pPr>
        <w:keepLines/>
      </w:pPr>
      <w:r>
        <w:t>O vendedor pode organizar a prospecção por circuito, registrar clientes abordados e pedidos e acompanhar a contribuição acumulada da viagem. O gestor confirma rota, tarifas, capacidade, acondicionamento e tempos de entrega. Se houver grandes pedidos com descarga prolongada, avaliar entrega dedicada para preservar o atendimento às demais cidades. Atualizar a simulação conforme surjam dados reais de vendas e operação.</w:t>
      </w:r>
    </w:p>
    <w:p>
      <w:pPr>
        <w:keepLines/>
      </w:pPr>
      <w:r>
        <w:t>Entrega final: dashboard com filtros de circuito e cenário, perfil dos 12 municípios e referências de custo e receita de equilíbrio. Base de resultados: run_29 20261003T235010Z_0008bbdd e run_32 20261005T143409Z_0c721611. A finalidade é apoiar decisões de prospecção e formação de pedidos, com as limitações registradas.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Potencial de mercado e expansão comercial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