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técnico</w:t>
      </w:r>
    </w:p>
    <w:p>
      <w:pPr>
        <w:pStyle w:val="Subtitle"/>
      </w:pPr>
      <w:r>
        <w:t>Potencial de mercado e expansão comercial • Fechamento em 04/10/2026</w:t>
      </w:r>
    </w:p>
    <w:p>
      <w:pPr>
        <w:pStyle w:val="Heading1"/>
      </w:pPr>
      <w:r>
        <w:t>1 Objetivo e escopo</w:t>
      </w:r>
    </w:p>
    <w:p>
      <w:pPr>
        <w:keepLines/>
      </w:pPr>
      <w:r>
        <w:t>A análise apoia o vendedor na escolha de cidades para prospecção e na formação de pedidos que justifiquem viagens a partir de Ribeirão Preto. Abrange 12 municípios de São Paulo e Minas Gerais e cinco circuitos comerciais sugeridos. A definição das rotas reais, disponibilidade dos veículos e programação de entregas cabe ao gerente do centro de distribuição.</w:t>
      </w:r>
    </w:p>
    <w:p>
      <w:pPr>
        <w:keepLines/>
      </w:pPr>
      <w:r>
        <w:t>A entrega reúne o dashboard Power BI, o modelo SQL e referências simuladas de custo incremental e faturamento de equilíbrio. Não estima vendas futuras, participação da empresa no mercado ou probabilidade de conversão. A qualidade do produto, informada pelo usuário, é uma hipótese comercial a ser testada em prospecção.</w:t>
      </w:r>
    </w:p>
    <w:p>
      <w:pPr>
        <w:pStyle w:val="Heading1"/>
      </w:pPr>
      <w:r>
        <w:t>2 Dados e interpretação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Indicador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Referência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Uso e restrição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População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2024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Denominador das taxas de estabelecimentos de 2024.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Varejo especializado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2024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CNAE 47.2: comércio especializado de alimentos, bebidas e fumo; exclui supermercados do grupo 47.1.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Alimentação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2024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Serviços de alimentação, CNAE 56; segmento distinto do varejo.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Renda mediana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2022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Contexto socioeconômico municipal; não é renda atual nem previsão de consumo.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Urbanização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2022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Contexto territorial disponível na base.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População mais recente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2026 na base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Informação separada; não substitui o denominador de 2024.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Preços de produtos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Vigência não confirmada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Referências documentais; não determinam margem de contribuição.</w:t>
            </w:r>
          </w:p>
        </w:tc>
      </w:tr>
    </w:tbl>
    <w:p>
      <w:pPr>
        <w:keepLines/>
      </w:pPr>
      <w:r>
        <w:t>O universo soma 1.437 estabelecimentos de varejo especializado e 721.754 habitantes em 2024. A taxa regional é 19,91 estabelecimentos por 10 mil habitantes. Estabelecimento não equivale a cliente confirmado, rede, capacidade de compra ou ponto elegível para todos os produtos. Supermercados são relevantes ao negócio, mas sua cobertura não está representada por esta contagem.</w:t>
      </w:r>
    </w:p>
    <w:p>
      <w:pPr>
        <w:keepLines/>
      </w:pPr>
      <w:r>
        <w:t>Exemplo: Sales Oliveira tem 26 estabelecimentos de alimentação e 32 de varejo alimentar especializado. São universos de atividades distintos; a soma não foi usada como número de clientes potenciais. Sua participação regional no varejo é 32 / 1.437 × 100 = 2,23%.</w:t>
      </w:r>
    </w:p>
    <w:p>
      <w:pPr>
        <w:pStyle w:val="Heading1"/>
      </w:pPr>
      <w:r>
        <w:t>3 Arquitetura e rastreabilidade</w:t>
      </w:r>
    </w:p>
    <w:p>
      <w:pPr>
        <w:keepLines/>
      </w:pPr>
      <w:r>
        <w:t>O processamento organiza dados nas camadas Bronze, Silver e Gold, com execução incremental em Python, arquivos de dados e evidências de qualidade. As etapas 19 e 20 estruturam e carregam o modelo dimensional; a 21 publica views comerciais. As etapas 22 a 29 desenvolvem prioridades, carga, custos, jornada, trajetos, pedágios e cinco circuitos. A 30 carrega as simulações no SQL Server e a 31 publica as views para Power BI.</w:t>
      </w:r>
    </w:p>
    <w:p>
      <w:pPr>
        <w:keepLines/>
      </w:pPr>
      <w:r>
        <w:t>Os registros de conclusão preservam identificadores de execução e hashes SHA-256 das entradas e scripts. A seleção das views de BI é vinculada à execução comercial compatível com a carga aprovada. Chaves compostas com run e identificador evitam relacionar registros de execuções diferentes.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Marco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Identificador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Carga Gold / execução SQL 1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20261003T172330Z_8fa91976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Trajetos e pedágios — etapa 28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20261003T233002Z_b140700e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Priorização — etapa 29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20261003T235010Z_0008bbdd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Carga comercial SQL — etapa 30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20261004T001537Z_2f312086</w:t>
            </w:r>
          </w:p>
        </w:tc>
      </w:tr>
      <w:tr>
        <w:trPr>
          <w:cantSplit/>
        </w:trPr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Views Power BI — etapa 31</w:t>
            </w:r>
          </w:p>
        </w:tc>
        <w:tc>
          <w:tcPr>
            <w:tcW w:type="dxa" w:w="5112"/>
          </w:tcPr>
          <w:p>
            <w:pPr>
              <w:spacing w:after="60"/>
            </w:pPr>
            <w:r>
              <w:rPr>
                <w:sz w:val="18"/>
              </w:rPr>
              <w:t>20261004T002348Z_e1c3260d</w:t>
            </w:r>
          </w:p>
        </w:tc>
      </w:tr>
    </w:tbl>
    <w:p>
      <w:pPr>
        <w:keepLines/>
      </w:pPr>
      <w:r>
        <w:t>Ambiente local: SQL Server DESKTOP-MAMEBQ8\SQLEXPRESS, ODBC Driver 17 for SQL Server e autenticação do Windows. O armazenamento Azure e o GitHub preservam os artefatos do projeto; a sincronização informada antes desta entrega verificou 547 arquivos, dos quais 422 já eram idênticos e 125 foram enviados. Esse registro não comprova o envio dos relatórios finais ou do PBIX.</w:t>
      </w:r>
    </w:p>
    <w:p>
      <w:pPr>
        <w:pStyle w:val="Heading1"/>
      </w:pPr>
      <w:r>
        <w:t>4 Modelo semântico e medidas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View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Grão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Linhas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vw_bi_circuito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Um circuito por execução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vw_bi_municipio_comercial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Um município por execução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vw_bi_cenario_comercial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Um conjunto de parâmetros por execução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vw_bi_custo_viagem_simulado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Um circuito × cenário por execução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135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Lado 1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Lado muitos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Chave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vw_bi_circuito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vw_bi_municipio_comercial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circuito_chave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vw_bi_circuito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vw_bi_custo_viagem_simulado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circuito_chave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vw_bi_cenario_comercial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vw_bi_custo_viagem_simulado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cenario_chave</w:t>
            </w:r>
          </w:p>
        </w:tc>
      </w:tr>
    </w:tbl>
    <w:p>
      <w:pPr>
        <w:keepLines/>
      </w:pPr>
      <w:r>
        <w:t>Os três relacionamentos ficam ativos, com direção única da dimensão para o lado muitos. Relações automáticas adicionais foram retiradas para eliminar caminhos ambíguos. A segmentação de cenário filtra as simulações; a segmentação de circuito filtra municípios e custos. Um filtro municipal não deve ser interpretado como cálculo de custo individual da cidade.</w:t>
      </w:r>
    </w:p>
    <w:p>
      <w:pPr>
        <w:keepLines/>
      </w:pPr>
      <w:r>
        <w:t>Medidas: população e varejo somam as observações municipais; municípios usa contagem distinta de código IBGE. Densidade = varejo × 10.000 / população. Participação = varejo municipal / varejo dos 12 municípios, removendo filtros de município e circuito no denominador. Ranking regional ordena o varejo em ordem decrescente, com empate denso; Cristais Paulista e Planura empatam na posição 11.</w:t>
      </w:r>
    </w:p>
    <w:p>
      <w:pPr>
        <w:keepLines/>
      </w:pPr>
      <w:r>
        <w:t>Valores monetários das simulações só são exibidos quando há exatamente um cenário selecionado; sem seleção ficam em branco para evitar somar hipóteses diferentes. Renda mediana não é somada entre municípios. O total de densidade é recalculado pela razão dos totais, não pela soma de taxas. Totais de custos entre circuitos foram retirados do visual para não sugerir uma viagem única.</w:t>
      </w:r>
    </w:p>
    <w:p>
      <w:pPr>
        <w:pStyle w:val="Heading1"/>
      </w:pPr>
      <w:r>
        <w:t>5 Modelo de custo incremental</w:t>
      </w:r>
    </w:p>
    <w:p>
      <w:pPr>
        <w:keepLines/>
      </w:pPr>
      <w:r>
        <w:t>Custo da viagem = (distância / consumo em km/l × preço da gasolina) + (distância × desgaste por km) + pedágio estimado. Receita de equilíbrio = custo da viagem / margem de contribuição. A distância contempla saída e retorno a Ribeirão Preto. Salário fixo do motorista e financiamento fixo do veículo foram excluídos do cálculo incremental, conforme o escopo acordado.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Parâmetro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Valores considerados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Natureza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Gasolina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R$ 6,70/l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Referência histórica ANP, semana 27/09 a 03/10/2026, registrada na etapa 24.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Consumo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8, 10 ou 12 km/l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Hipótese para Fiorino nova a gasolina, saída com carga máxima.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Desgaste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R$ 0,10, 0,20 ou 0,30/km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Provisão hipotética de manutenção e desgaste.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Margem de contribuição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15%, 25% ou 35%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Hipótese; sem custos reais de produção e venda.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Cenário de referência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10 km/l; R$ 0,20/km; 25%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Referência comparável entre os cinco circuitos.</w:t>
            </w:r>
          </w:p>
        </w:tc>
      </w:tr>
    </w:tbl>
    <w:p>
      <w:pPr>
        <w:keepLines/>
      </w:pPr>
      <w:r>
        <w:t>As combinações produzem 27 cenários e 135 simulações. Carga máxima foi considerada na escolha de cenários de consumo; não existe ensaio que comprove o consumo nessas condições nem validação de peso, volume, descarga e capacidade real para cada pedido. O veículo sem refrigeração exige validação operacional de conservação e acondicionamento dos produtos antes de entregas; essa análise não certifica adequação do transporte.</w:t>
      </w:r>
    </w:p>
    <w:p>
      <w:pPr>
        <w:keepLines/>
      </w:pPr>
      <w:r>
        <w:t>A margem precisa representar receita menos custos variáveis de produto e venda antes do custo da rota, evitando dupla contagem. O desgaste é uma reserva por quilômetro, não uma estimativa comprovada de quebra. Custos fixos, horas extras, despesas adicionais e lucro desejado não estão integralmente modelados. A receita de equilíbrio cobre apenas os custos incrementais considerados; não representa lucro líquido ou meta comercial definitiva.</w:t>
      </w:r>
    </w:p>
    <w:p>
      <w:pPr>
        <w:pStyle w:val="Heading1"/>
      </w:pPr>
      <w:r>
        <w:t>6 Distâncias, pedágios e limitações operacionais</w:t>
      </w:r>
    </w:p>
    <w:p>
      <w:pPr>
        <w:keepLines/>
      </w:pPr>
      <w:r>
        <w:t>As trajetórias foram estimadas com OSRM, usando referências geográficas municipais, e os candidatos a pedágio foram pesquisados no OpenStreetMap/Overpass. A metodologia da etapa 28 compara pontos próximos à geometria do trajeto, mas isso não confirma cobrança, sentido, tarifa e classe aplicável. O status preservado é PEDAGIOS_OSM_NAO_HOMOLOGADOS; o total oficial homologado permanece ausente.</w:t>
      </w:r>
    </w:p>
    <w:p>
      <w:pPr>
        <w:keepLines/>
      </w:pPr>
      <w:r>
        <w:t>Ausência de um ponto ou tarifa na fonte não comprova isenção. Descontos TAG/DUF não foram presumidos. Antes de orçamento, devem ser confirmados preço do combustível, rota efetiva, endereço do centro de distribuição, categoria tarifária e tarifas oficiais. Tempos estimados não incorporam trânsito real, filas e duração de descarga por cliente. Os cinco agrupamentos são referências comerciais, não rotas operacionais aprovadas.</w:t>
      </w:r>
    </w:p>
    <w:p>
      <w:pPr>
        <w:pStyle w:val="Heading1"/>
      </w:pPr>
      <w:r>
        <w:t>7 Resultados dos circuitos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Cidades do circuito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Varejo 2024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Km ida e volta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Receita de equilíbrio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Cristais Paulista / Franca / Ipuã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733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339,7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R$ 1.335,60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Barretos / Guaíra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364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328,6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R$ 1.337,52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Sales Oliveira / Nuporanga / Morro Agudo / Orlândia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201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233,8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R$ 933,58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Frutal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113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419,1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R$ 1.726,42</w:t>
            </w:r>
          </w:p>
        </w:tc>
      </w:tr>
      <w:tr>
        <w:trPr>
          <w:cantSplit/>
        </w:trPr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Planura / Colômbia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26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382,6</w:t>
            </w:r>
          </w:p>
        </w:tc>
        <w:tc>
          <w:tcPr>
            <w:tcW w:type="dxa" w:w="2556"/>
          </w:tcPr>
          <w:p>
            <w:pPr>
              <w:spacing w:after="60"/>
            </w:pPr>
            <w:r>
              <w:rPr>
                <w:sz w:val="18"/>
              </w:rPr>
              <w:t>R$ 1.599,53</w:t>
            </w:r>
          </w:p>
        </w:tc>
      </w:tr>
    </w:tbl>
    <w:p>
      <w:pPr>
        <w:keepLines/>
      </w:pPr>
      <w:r>
        <w:t>Todas as sequências começam e terminam em Ribeirão Preto. Os dois maiores agrupamentos reúnem 1.097 estabelecimentos, ou 76,34% do universo. O circuito Sales Oliveira / Nuporanga / Morro Agudo / Orlândia combina 201 estabelecimentos com a menor receita de equilíbrio de referência. Os trajetos de Frutal e Planura / Colômbia têm maior esforço relativo e devem depender de formação de pedidos e encaixe logístico.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Circuito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Receita mínima simulada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Receita máxima simulada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Cristais Paulista / Franca / Ipuã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R$ 748,59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R$ 2.831,73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Barretos / Guaíra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R$ 756,65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R$ 2.815,20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Sales Oliveira / Nuporanga / Morro Agudo / Orlândia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R$ 525,45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R$ 1.972,88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Frutal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R$ 979,71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R$ 3.624,74</w:t>
            </w:r>
          </w:p>
        </w:tc>
      </w:tr>
      <w:tr>
        <w:trPr>
          <w:cantSplit/>
        </w:trPr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Planura / Colômbia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R$ 911,13</w:t>
            </w:r>
          </w:p>
        </w:tc>
        <w:tc>
          <w:tcPr>
            <w:tcW w:type="dxa" w:w="3408"/>
          </w:tcPr>
          <w:p>
            <w:pPr>
              <w:spacing w:after="60"/>
            </w:pPr>
            <w:r>
              <w:rPr>
                <w:sz w:val="18"/>
              </w:rPr>
              <w:t>R$ 3.348,23</w:t>
            </w:r>
          </w:p>
        </w:tc>
      </w:tr>
    </w:tbl>
    <w:p>
      <w:pPr>
        <w:keepLines/>
      </w:pPr>
      <w:r>
        <w:t>Esses extremos resultam da variação conjunta de consumo, desgaste e margem. Não são intervalos de confiança nem probabilidades de faturamento. Diferenças pequenas de custo entre circuitos não justificam conclusões definitivas diante de tarifas e parâmetros não homologados.</w:t>
      </w:r>
    </w:p>
    <w:p>
      <w:pPr>
        <w:pStyle w:val="Heading1"/>
      </w:pPr>
      <w:r>
        <w:t>8 Perfil municipal e priorização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Município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Varejo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Participação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Por 10 mil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Renda 2022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Franca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690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48,02%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18,94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R$ 1.250,00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Barretos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295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20,53%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23,30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R$ 1.328,00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Frutal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113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7,86%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18,54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R$ 1.200,00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Orlândia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93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6,47%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23,73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R$ 1.266,67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Guaíra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69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4,80%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17,07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R$ 1.250,00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Morro Agudo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55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3,83%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19,26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R$ 1.120,00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Sales Oliveira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32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2,23%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27,46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R$ 1.333,33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Ipuã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31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2,16%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21,10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R$ 1.178,00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Nuporanga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21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1,46%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27,81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R$ 1.333,33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Colômbia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14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0,97%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20,65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R$ 1.070,67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Planura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0,84%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10,45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R$ 1.050,00</w:t>
            </w:r>
          </w:p>
        </w:tc>
      </w:tr>
      <w:tr>
        <w:trPr>
          <w:cantSplit/>
        </w:trPr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Cristais Paulista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12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0,84%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12,57</w:t>
            </w:r>
          </w:p>
        </w:tc>
        <w:tc>
          <w:tcPr>
            <w:tcW w:type="dxa" w:w="2045"/>
          </w:tcPr>
          <w:p>
            <w:pPr>
              <w:spacing w:after="60"/>
            </w:pPr>
            <w:r>
              <w:rPr>
                <w:sz w:val="18"/>
              </w:rPr>
              <w:t>R$ 1.200,00</w:t>
            </w:r>
          </w:p>
        </w:tc>
      </w:tr>
    </w:tbl>
    <w:p>
      <w:pPr>
        <w:keepLines/>
      </w:pPr>
      <w:r>
        <w:t>Franca e Barretos lideram a escala observada, com 985 estabelecimentos e 68,55% do universo. Nuporanga e Sales Oliveira apresentam as maiores densidades e rendas medianas desta seleção, mas menor escala absoluta. A renda contextualiza a análise; não foi convertida em demanda, ticket ou pontuação arbitrária. Concorrência, compradores ativos e volume por cliente são desconhecidos.</w:t>
      </w:r>
    </w:p>
    <w:p>
      <w:pPr>
        <w:keepLines/>
      </w:pPr>
      <w:r>
        <w:t>A orientação combina prospecção dos polos Franca e Barretos com desenvolvimento do circuito próximo de Orlândia, Morro Agudo, Sales Oliveira e Nuporanga. Cristais Paulista e Ipuã entram no agrupamento de Franca; Guaíra no de Barretos. Frutal, Planura e Colômbia permanecem no plano, condicionadas à consolidação de pedidos. Não existe um valor mínimo igual por cidade: uma venda maior pode sustentar paradas menores no mesmo circuito, desde que a contribuição conjunta cubra a viagem e a logística permita.</w:t>
      </w:r>
    </w:p>
    <w:p>
      <w:pPr>
        <w:pStyle w:val="Heading1"/>
      </w:pPr>
      <w:r>
        <w:t>9 Verificação e conclusão</w:t>
      </w:r>
    </w:p>
    <w:p>
      <w:pPr>
        <w:keepLines/>
      </w:pPr>
      <w:r>
        <w:t>O registro da etapa 31 apresenta nove regras com zero divergências: unicidade de chaves de circuito, município e cenário; unicidade do grão da fato; fatos sem dimensão; municípios sem circuito; agregação de varejo; receita de referência; e equilíbrio. O dashboard foi conferido pelo usuário quanto aos totais, seleção de cenário e limpeza do filtro de circuito, retornando aos 12 municípios.</w:t>
      </w:r>
    </w:p>
    <w:p>
      <w:pPr>
        <w:keepLines/>
      </w:pPr>
      <w:r>
        <w:t>Valores ausentes continuam ausentes, sem substituição automática por zero. A população histórica de 2024 foi admitida como denominador do painel pela exceção DENOMINADOR_HISTORICO_2024, preservando a restrição FORA_CANDIDATO_EDA. As 67 referências de preço mantêm vigência não confirmada e lacunas de peso ou quantidade de pacote; não foram usadas para inventar margens.</w:t>
      </w:r>
    </w:p>
    <w:p>
      <w:pPr>
        <w:keepLines/>
      </w:pPr>
      <w:r>
        <w:t>A análise está concluída como referência comercial com limitações explícitas. Para uso operacional, registrar pedidos, margem efetiva, consumo com carga, manutenção e tarifas confirmadas; recalcular o equilíbrio com esses dados. Grandes entregas com descarga demorada podem justificar veículo dedicado, como sugestão ao gestor e condicionada à existência de pedidos reais.</w:t>
      </w:r>
    </w:p>
    <w:p>
      <w:pPr>
        <w:pStyle w:val="Heading1"/>
        <w:pageBreakBefore/>
      </w:pPr>
      <w:r>
        <w:t>10 Fontes e reprodução</w:t>
      </w:r>
    </w:p>
    <w:p>
      <w:pPr>
        <w:keepLines/>
      </w:pPr>
      <w:r>
        <w:t>Fontes internas verificadas: circuitos_comerciais.json e municipios_prioridades.json da etapa 29; conclusao_30.json; conclusao_31.json; sql/32_views_power_bi.sql e documentação das etapas 27 a 29. Os números publicados neste relatório correspondem ao run_29 indicado acima. Os arquivos de conclusão preservam a rastreabilidade das fontes municipais e documentais.</w:t>
      </w:r>
    </w:p>
    <w:p>
      <w:pPr>
        <w:keepLines/>
      </w:pPr>
      <w:r>
        <w:t>Fontes externas arquivadas pelo pipeline: ANP para gasolina; OSRM para trajetórias; OpenStreetMap/Overpass para candidatos a pedágio; portais de concessionárias e ARTESP para tentativas de conferência. Consulta de rotas: https://project-osrm.org/docs/v26.4.0/http/ . Overpass: https://overpass-api.de/api/interpreter . Os dados OSM têm atribuição a OpenStreetMap contributors e licença ODbL. Este relatório não realizou nova pesquisa de tarifas.</w:t>
      </w:r>
    </w:p>
    <w:p>
      <w:pPr>
        <w:keepLines/>
      </w:pPr>
      <w:r>
        <w:t>Reprodução no ambiente original: python src/run_pipeline.py --views-power-bi --sql-servidor 'DESKTOP-MAMEBQ8\SQLEXPRESS' --sql-driver 'ODBC Driver 17 for SQL Server' --confiar-certificado. Requer as cargas aprovadas das etapas anteriores e o ambiente configurado. No Power BI, atualizar as views, selecionar um cenário e conferir os totais 12 / 1.437 / 721.754 / 19,91. A autorização de confiança de certificado corresponde ao ambiente local informado.</w:t>
      </w:r>
    </w:p>
    <w:sectPr w:rsidR="00FC693F" w:rsidRPr="0006063C" w:rsidSect="00034616">
      <w:footerReference w:type="default" r:id="rId9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Potencial de mercado e expansão comercial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8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8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