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Plans and Billing</w:t>
      </w:r>
    </w:p>
    <w:p>
      <w:pPr>
        <w:pStyle w:val="Heading1"/>
      </w:pPr>
      <w:r>
        <w:t>Plans at a glance</w:t>
      </w:r>
    </w:p>
    <w:p>
      <w:r>
        <w:t>Ledgerly has four plans. All prices are in USD and exclude tax.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Plan</w:t>
            </w:r>
          </w:p>
        </w:tc>
        <w:tc>
          <w:tcPr>
            <w:tcW w:type="dxa" w:w="1728"/>
          </w:tcPr>
          <w:p>
            <w:r>
              <w:t>Monthly</w:t>
            </w:r>
          </w:p>
        </w:tc>
        <w:tc>
          <w:tcPr>
            <w:tcW w:type="dxa" w:w="1728"/>
          </w:tcPr>
          <w:p>
            <w:r>
              <w:t>Annual (per year)</w:t>
            </w:r>
          </w:p>
        </w:tc>
        <w:tc>
          <w:tcPr>
            <w:tcW w:type="dxa" w:w="1728"/>
          </w:tcPr>
          <w:p>
            <w:r>
              <w:t>Seats included</w:t>
            </w:r>
          </w:p>
        </w:tc>
        <w:tc>
          <w:tcPr>
            <w:tcW w:type="dxa" w:w="1728"/>
          </w:tcPr>
          <w:p>
            <w:r>
              <w:t>Invoices per month</w:t>
            </w:r>
          </w:p>
        </w:tc>
      </w:tr>
      <w:tr>
        <w:tc>
          <w:tcPr>
            <w:tcW w:type="dxa" w:w="1728"/>
          </w:tcPr>
          <w:p>
            <w:r>
              <w:t>Starter</w:t>
            </w:r>
          </w:p>
        </w:tc>
        <w:tc>
          <w:tcPr>
            <w:tcW w:type="dxa" w:w="1728"/>
          </w:tcPr>
          <w:p>
            <w:r>
              <w:t>$12</w:t>
            </w:r>
          </w:p>
        </w:tc>
        <w:tc>
          <w:tcPr>
            <w:tcW w:type="dxa" w:w="1728"/>
          </w:tcPr>
          <w:p>
            <w:r>
              <w:t>$120</w:t>
            </w:r>
          </w:p>
        </w:tc>
        <w:tc>
          <w:tcPr>
            <w:tcW w:type="dxa" w:w="1728"/>
          </w:tcPr>
          <w:p>
            <w:r>
              <w:t>1</w:t>
            </w:r>
          </w:p>
        </w:tc>
        <w:tc>
          <w:tcPr>
            <w:tcW w:type="dxa" w:w="1728"/>
          </w:tcPr>
          <w:p>
            <w:r>
              <w:t>50</w:t>
            </w:r>
          </w:p>
        </w:tc>
      </w:tr>
      <w:tr>
        <w:tc>
          <w:tcPr>
            <w:tcW w:type="dxa" w:w="1728"/>
          </w:tcPr>
          <w:p>
            <w:r>
              <w:t>Growth</w:t>
            </w:r>
          </w:p>
        </w:tc>
        <w:tc>
          <w:tcPr>
            <w:tcW w:type="dxa" w:w="1728"/>
          </w:tcPr>
          <w:p>
            <w:r>
              <w:t>$39</w:t>
            </w:r>
          </w:p>
        </w:tc>
        <w:tc>
          <w:tcPr>
            <w:tcW w:type="dxa" w:w="1728"/>
          </w:tcPr>
          <w:p>
            <w:r>
              <w:t>$390</w:t>
            </w:r>
          </w:p>
        </w:tc>
        <w:tc>
          <w:tcPr>
            <w:tcW w:type="dxa" w:w="1728"/>
          </w:tcPr>
          <w:p>
            <w:r>
              <w:t>5</w:t>
            </w:r>
          </w:p>
        </w:tc>
        <w:tc>
          <w:tcPr>
            <w:tcW w:type="dxa" w:w="1728"/>
          </w:tcPr>
          <w:p>
            <w:r>
              <w:t>500</w:t>
            </w:r>
          </w:p>
        </w:tc>
      </w:tr>
      <w:tr>
        <w:tc>
          <w:tcPr>
            <w:tcW w:type="dxa" w:w="1728"/>
          </w:tcPr>
          <w:p>
            <w:r>
              <w:t>Scale</w:t>
            </w:r>
          </w:p>
        </w:tc>
        <w:tc>
          <w:tcPr>
            <w:tcW w:type="dxa" w:w="1728"/>
          </w:tcPr>
          <w:p>
            <w:r>
              <w:t>$99</w:t>
            </w:r>
          </w:p>
        </w:tc>
        <w:tc>
          <w:tcPr>
            <w:tcW w:type="dxa" w:w="1728"/>
          </w:tcPr>
          <w:p>
            <w:r>
              <w:t>$990</w:t>
            </w:r>
          </w:p>
        </w:tc>
        <w:tc>
          <w:tcPr>
            <w:tcW w:type="dxa" w:w="1728"/>
          </w:tcPr>
          <w:p>
            <w:r>
              <w:t>20</w:t>
            </w:r>
          </w:p>
        </w:tc>
        <w:tc>
          <w:tcPr>
            <w:tcW w:type="dxa" w:w="1728"/>
          </w:tcPr>
          <w:p>
            <w:r>
              <w:t>Unlimited</w:t>
            </w:r>
          </w:p>
        </w:tc>
      </w:tr>
      <w:tr>
        <w:tc>
          <w:tcPr>
            <w:tcW w:type="dxa" w:w="1728"/>
          </w:tcPr>
          <w:p>
            <w:r>
              <w:t>Enterprise</w:t>
            </w:r>
          </w:p>
        </w:tc>
        <w:tc>
          <w:tcPr>
            <w:tcW w:type="dxa" w:w="1728"/>
          </w:tcPr>
          <w:p>
            <w:r>
              <w:t>Custom</w:t>
            </w:r>
          </w:p>
        </w:tc>
        <w:tc>
          <w:tcPr>
            <w:tcW w:type="dxa" w:w="1728"/>
          </w:tcPr>
          <w:p>
            <w:r>
              <w:t>Custom (annual only)</w:t>
            </w:r>
          </w:p>
        </w:tc>
        <w:tc>
          <w:tcPr>
            <w:tcW w:type="dxa" w:w="1728"/>
          </w:tcPr>
          <w:p>
            <w:r>
              <w:t>25 minimum</w:t>
            </w:r>
          </w:p>
        </w:tc>
        <w:tc>
          <w:tcPr>
            <w:tcW w:type="dxa" w:w="1728"/>
          </w:tcPr>
          <w:p>
            <w:r>
              <w:t>Unlimited</w:t>
            </w:r>
          </w:p>
        </w:tc>
      </w:tr>
    </w:tbl>
    <w:p>
      <w:r>
        <w:t>Annual billing works out to two months free compared with paying monthly. Every new workspace starts with a 14-day free trial of Growth; no card is required to start the trial.</w:t>
      </w:r>
    </w:p>
    <w:p>
      <w:pPr>
        <w:pStyle w:val="Heading2"/>
      </w:pPr>
      <w:r>
        <w:t>What counts as an invoice</w:t>
      </w:r>
    </w:p>
    <w:p>
      <w:r>
        <w:t>The monthly invoice limit counts invoices that are sent or marked as sent during the calendar month. Drafts, quotes and credit notes don't count. Recurring invoices count once per generated invoice. When you reach the limit, you can keep creating drafts, but you can't send new invoices until the next month or until you upgrade. We email workspace owners at 80% and 100% of the limit.</w:t>
      </w:r>
    </w:p>
    <w:p>
      <w:pPr>
        <w:pStyle w:val="Heading1"/>
      </w:pPr>
      <w:r>
        <w:t>Seats</w:t>
      </w:r>
    </w:p>
    <w:p>
      <w:r>
        <w:t>A seat is any team member with Admin, Accountant or Member role. Viewer roles (read-only) are free and unlimited on Growth and above.</w:t>
      </w:r>
    </w:p>
    <w:p>
      <w:r>
        <w:t>Need more people than your plan includes? Add extra seats:</w:t>
      </w:r>
    </w:p>
    <w:p>
      <w:pPr>
        <w:pStyle w:val="ListBullet"/>
      </w:pPr>
      <w:r>
        <w:t>Growth: $8 per seat per month, up to 15 total seats.</w:t>
      </w:r>
    </w:p>
    <w:p>
      <w:pPr>
        <w:pStyle w:val="ListBullet"/>
      </w:pPr>
      <w:r>
        <w:t>Scale: $6 per seat per month, no maximum.</w:t>
      </w:r>
    </w:p>
    <w:p>
      <w:pPr>
        <w:pStyle w:val="ListBullet"/>
      </w:pPr>
      <w:r>
        <w:t>Starter doesn't support extra seats; upgrade to Growth instead.</w:t>
      </w:r>
    </w:p>
    <w:p>
      <w:pPr>
        <w:pStyle w:val="Heading1"/>
      </w:pPr>
      <w:r>
        <w:t>Your billing date</w:t>
      </w:r>
    </w:p>
    <w:p>
      <w:r>
        <w:t>Your billing date is the day of the month (or year) on which you first moved from trial to a paid plan. If that day doesn't exist in a given month, for example the 31st, you're billed on the last day of that month. You can't change your billing date yourself, but support can align it once per year on request.</w:t>
      </w:r>
    </w:p>
    <w:p>
      <w:pPr>
        <w:pStyle w:val="Heading1"/>
      </w:pPr>
      <w:r>
        <w:t>Upgrading, downgrading and proration</w:t>
      </w:r>
    </w:p>
    <w:p>
      <w:r>
        <w:t>Upgrades take effect immediately. You're charged a prorated amount for the rest of the current period, calculated to the day. For example, moving from Growth ($39) to Scale ($99) halfway through a 30-day month costs about $30 on the day you upgrade, and the full $99 from your next billing date.</w:t>
      </w:r>
    </w:p>
    <w:p>
      <w:r>
        <w:t>Downgrades take effect at the end of the current billing period. You keep the higher plan's features until then, and no partial credit is issued. If your workspace has more seats or more sent invoices this month than the lower plan allows, you'll be asked to remove seats before the downgrade is scheduled.</w:t>
      </w:r>
    </w:p>
    <w:p>
      <w:r>
        <w:t>Switching from monthly to annual billing is treated as an upgrade: the unused part of your current month is credited against the annual charge.</w:t>
      </w:r>
    </w:p>
    <w:p>
      <w:r>
        <w:t>Adding seats mid-cycle is prorated the same way as an upgrade. Removing seats takes effect at the next billing date.</w:t>
      </w:r>
    </w:p>
    <w:p>
      <w:pPr>
        <w:pStyle w:val="Heading1"/>
      </w:pPr>
      <w:r>
        <w:t>Payment methods</w:t>
      </w:r>
    </w:p>
    <w:p>
      <w:r>
        <w:t>We accept major credit and debit cards. Annual Scale and Enterprise customers can also pay by bank transfer (ACH or SEPA) against an invoice with net 30 terms. Update your card in Settings &gt; Billing &gt; Payment method. Only the workspace Owner and users with the Billing Admin permission can see or change billing.</w:t>
      </w:r>
    </w:p>
    <w:p>
      <w:pPr>
        <w:pStyle w:val="Heading1"/>
      </w:pPr>
      <w:r>
        <w:t>Failed payments</w:t>
      </w:r>
    </w:p>
    <w:p>
      <w:r>
        <w:t>If a charge fails, we don't cut you off straight away:</w:t>
      </w:r>
    </w:p>
    <w:p>
      <w:pPr>
        <w:pStyle w:val="ListNumber"/>
      </w:pPr>
      <w:r>
        <w:t>We retry the card automatically 1, 3, 5 and 7 days after the first failure (four retries).</w:t>
      </w:r>
    </w:p>
    <w:p>
      <w:pPr>
        <w:pStyle w:val="ListNumber"/>
      </w:pPr>
      <w:r>
        <w:t>After each failure, the Owner and Billing Admins get an email with a link to update the card.</w:t>
      </w:r>
    </w:p>
    <w:p>
      <w:pPr>
        <w:pStyle w:val="ListNumber"/>
      </w:pPr>
      <w:r>
        <w:t>A banner appears in the app from the first failure.</w:t>
      </w:r>
    </w:p>
    <w:p>
      <w:pPr>
        <w:pStyle w:val="ListNumber"/>
      </w:pPr>
      <w:r>
        <w:t>If all retries fail, the workspace enters a 14-day grace period that starts on the original billing date. Everything keeps working during the grace period.</w:t>
      </w:r>
    </w:p>
    <w:p>
      <w:pPr>
        <w:pStyle w:val="ListNumber"/>
      </w:pPr>
      <w:r>
        <w:t>When the grace period ends unpaid, the workspace becomes read-only: you can view and export data, but you can't send invoices, record payments or add users.</w:t>
      </w:r>
    </w:p>
    <w:p>
      <w:r>
        <w:t>As soon as a payment succeeds, full access returns within a few minutes. Read-only workspaces that stay unpaid for 90 days are cancelled.</w:t>
      </w:r>
    </w:p>
    <w:p>
      <w:pPr>
        <w:pStyle w:val="Heading1"/>
      </w:pPr>
      <w:r>
        <w:t>Taxes</w:t>
      </w:r>
    </w:p>
    <w:p>
      <w:r>
        <w:t>Prices exclude tax. We add tax based on your billing address:</w:t>
      </w:r>
    </w:p>
    <w:p>
      <w:pPr>
        <w:pStyle w:val="ListBullet"/>
      </w:pPr>
      <w:r>
        <w:t>EU and UK businesses: enter a valid VAT number in Settings &gt; Billing &gt; Tax details, and we apply the reverse charge (0% VAT on our invoice). Without a VAT number, your country's VAT rate is added.</w:t>
      </w:r>
    </w:p>
    <w:p>
      <w:pPr>
        <w:pStyle w:val="ListBullet"/>
      </w:pPr>
      <w:r>
        <w:t>Australia and New Zealand: GST is added for customers without an ABN or NZBN.</w:t>
      </w:r>
    </w:p>
    <w:p>
      <w:pPr>
        <w:pStyle w:val="ListBullet"/>
      </w:pPr>
      <w:r>
        <w:t>United States: sales tax is collected in states where software subscriptions are taxable.</w:t>
      </w:r>
    </w:p>
    <w:p>
      <w:r>
        <w:t>Tax changes apply from your next invoice; we can't reissue past invoices with a different tax treatment.</w:t>
      </w:r>
    </w:p>
    <w:p>
      <w:pPr>
        <w:pStyle w:val="Heading1"/>
      </w:pPr>
      <w:r>
        <w:t>Your Ledgerly receipts</w:t>
      </w:r>
    </w:p>
    <w:p>
      <w:r>
        <w:t>Receipts for your Ledgerly subscription are emailed to the Owner and listed under Settings &gt; Billing &gt; History. Each receipt has a number starting with LR-. You can add a PO number and a custom billing address that will appear on future receipts.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Plans and Billing</dc:title>
  <dc:subject/>
  <dc:creator>Ledgerly</dc:creator>
  <cp:keywords/>
  <dc:description>generated by python-docx</dc:description>
  <cp:lastModifiedBy/>
  <cp:revision>1</cp:revision>
  <dcterms:created xsi:type="dcterms:W3CDTF">2013-12-23T23:15:00Z</dcterms:created>
  <dcterms:modified xsi:type="dcterms:W3CDTF">2013-12-23T23:15:00Z</dcterms:modified>
  <cp:category/>
</cp:coreProperties>
</file>