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900"/>
          <w:tab w:val="left" w:leader="none" w:pos="8789"/>
        </w:tabs>
        <w:spacing w:after="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900"/>
          <w:tab w:val="left" w:leader="none" w:pos="8789"/>
        </w:tabs>
        <w:spacing w:after="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00"/>
          <w:tab w:val="left" w:leader="none" w:pos="8789"/>
        </w:tabs>
        <w:spacing w:after="0" w:line="36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9434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41a"/>
          <w:sz w:val="32"/>
          <w:szCs w:val="32"/>
          <w:rtl w:val="0"/>
        </w:rPr>
        <w:t xml:space="preserve">Transparência em Saúde Municipal: pipeline reprodutível para RDQA e RAG: </w:t>
      </w:r>
      <w:r w:rsidDel="00000000" w:rsidR="00000000" w:rsidRPr="00000000">
        <w:rPr>
          <w:rFonts w:ascii="Times New Roman" w:cs="Times New Roman" w:eastAsia="Times New Roman" w:hAnsi="Times New Roman"/>
          <w:color w:val="94341a"/>
          <w:sz w:val="32"/>
          <w:szCs w:val="32"/>
          <w:rtl w:val="0"/>
        </w:rPr>
        <w:t xml:space="preserve">Da planilha aos painéis e relatórios, com rastreabilidade ponta a ponta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4a4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Guilherme Domiciano Silva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Fabiano Fagundes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00"/>
          <w:tab w:val="left" w:leader="none" w:pos="8789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00"/>
          <w:tab w:val="left" w:leader="none" w:pos="8789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00"/>
          <w:tab w:val="left" w:leader="none" w:pos="8789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A">
      <w:pPr>
        <w:tabs>
          <w:tab w:val="left" w:leader="none" w:pos="709"/>
          <w:tab w:val="left" w:leader="none" w:pos="850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Este trabalho apresenta um pipeline reprodutível e auditável para geração do RDQA e do RAG em saúde municipal, integrando múltiplas fontes de dados e oferecendo dashboards e exportação automática dos quadros exigidos. O objetivo é reduzir retrabalho e erros, elevando a confiabilidade e a transparência dos indicadores. Metodologicamente, adotamos Design Science Research para projetar e avaliar o artefato, articulando ciclos de relevância, rigor e design, com métricas objetivas (tempo, erros, reprodutibilidade) e subjetivas (confiança, utilidade). Nesta etapa, foi desenvolvido um MVP funcional com rastreabilidade completa das fontes de dados; a avaliação quantitativa será conduzida nos próximos ciclos quadrimestrais.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0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0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Transparência  em saúde; design science research; reprodutibilidade; RDQA.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00"/>
          <w:tab w:val="left" w:leader="none" w:pos="8789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00"/>
          <w:tab w:val="left" w:leader="none" w:pos="8789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8.0000000000002"/>
        </w:tabs>
        <w:spacing w:after="0" w:before="0" w:line="240" w:lineRule="auto"/>
        <w:ind w:left="566.9291338582675" w:right="0" w:hanging="425.196850393700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wbefshwngjm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1">
      <w:pPr>
        <w:tabs>
          <w:tab w:val="left" w:leader="none" w:pos="90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transparência na gestão pública em saúde requer que dados administrativos, epidemiológicos e financeiros sejam divulgados de forma acessível e auditável. No Brasil, a Lei nº 12.527/2011 (Lei de Acesso à Informação) determina que o acesso seja a regra e o sigilo, exceção, assegurando à sociedade meios de controle sobre as ações governamentais (BRASIL, 2011, online).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firstLine="566.929133858267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No âmbito do Sistema Único de Saúde (SUS), dois instrumentos orientam a prestação de contas: o Relatório Detalhado do Quadrimestre Anterior (RDQA) e o Relatório Anual de Gestão (RAG), previstos na Lei Complementar nº 141/2012. O RDQA apresenta resultados quadrimestrais e execução financeira das ações planejadas, enquanto o RAG consolida o desempenho anual da gestão (BRASIL, 2012, art. 36; MINISTÉRIO DA SAÚDE, 2019, online).</w:t>
      </w:r>
    </w:p>
    <w:p w:rsidR="00000000" w:rsidDel="00000000" w:rsidP="00000000" w:rsidRDefault="00000000" w:rsidRPr="00000000" w14:paraId="00000014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da obrigatoriedade, a elaboração desses relatórios ainda depende de processos manuais e fragmentados, o que compromete a rastreabilidade e a confiabilidade das informações. As audiências públicas exigidas pela legislação demandam revisões constantes, comparabilidade histórica e agilidade na consolidação dos dados (SES-TO, 2024, online).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12"/>
        </w:tabs>
        <w:spacing w:after="0" w:line="240" w:lineRule="auto"/>
        <w:ind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trabalho propõe uma plataforma municipal de transparência em saúde que automatiza a geração dos relatórios RDQA e RAG por meio de um pipeline reprodutível e auditável, capaz de integrar, validar e materializar dados de diferentes fontes em painéis e relatórios oficiais.</w:t>
      </w:r>
    </w:p>
    <w:p w:rsidR="00000000" w:rsidDel="00000000" w:rsidP="00000000" w:rsidRDefault="00000000" w:rsidRPr="00000000" w14:paraId="00000016">
      <w:pPr>
        <w:tabs>
          <w:tab w:val="left" w:leader="none" w:pos="712"/>
        </w:tabs>
        <w:spacing w:after="0" w:line="240" w:lineRule="auto"/>
        <w:ind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pesquisa adota a Design Science Research (DSR) como metodologia, articulando os ciclos de relevância, rigor e design (HEVNER et al., 2004, online), orientados por boas práticas de reprodutibilidade computacional (SANDVE et al., 2013, online). Essa abordagem busca unir rigor científico, aplicabilidade e inovação tecnológica, permitindo que os resultados sejam verificáveis e replicáveis.</w:t>
      </w:r>
    </w:p>
    <w:p w:rsidR="00000000" w:rsidDel="00000000" w:rsidP="00000000" w:rsidRDefault="00000000" w:rsidRPr="00000000" w14:paraId="00000017">
      <w:pPr>
        <w:tabs>
          <w:tab w:val="left" w:leader="none" w:pos="712"/>
        </w:tabs>
        <w:spacing w:after="0" w:line="240" w:lineRule="auto"/>
        <w:ind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geral é disponibilizar um pipeline auditável para geração automatizada do RDQA e do RAG, reduzindo retrabalho e aumentando a confiabilidade das informações. Os objetivos específicos incluem: (i) padronizar a ingestão de dados demográficos, epidemiológicos e financeiros; (ii) gerar indicadores com rastreabilidade e controle de versão; e (iii) prover painéis interativos e exportações automáticas com verificação 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566.9291338582675" w:right="0" w:hanging="425.196850393700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7yfdfebjrgp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E MÉTODOS</w:t>
      </w:r>
    </w:p>
    <w:p w:rsidR="00000000" w:rsidDel="00000000" w:rsidP="00000000" w:rsidRDefault="00000000" w:rsidRPr="00000000" w14:paraId="0000001B">
      <w:pPr>
        <w:tabs>
          <w:tab w:val="left" w:leader="none" w:pos="90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O estudo adota a abordagem de DSR para projetar e avaliar um artefato de software voltado à transparência em saúde. A DSR busca gerar conhecimento científico por meio da construção e avaliação de artefatos tecnológicos que solucionem problemas reais, combinando relevância prática, rigor científico e inovação tecnológica.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O processo estrutura-se em três ciclos interdependentes: o ciclo de relevância, que define o problema e o contexto de aplicação; o ciclo de rigor, ancorado em teorias, normas e boas práticas consolidadas; e o ciclo de design, no qual o artefato é concebido, implementado e aprimorado iterativamente (HEVNER et al., 2004, online).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No contexto deste estudo, o ciclo de relevância está fundamentado nas exigências legais de transparência e prestação de contas da gestão pública em saúde, representadas pelo RDQA e pelo RAG. O ciclo de rigor foi guiado pelos princípios de qualidade e reprodutibilidade dos dados — acurácia, completude, consistência e rastreabilidade — e pelas normas que regem a elaboração dos instrumentos de planejamento e avaliação do SUS. Já o ciclo de design materializou-se no desenvolvimento incremental da plataforma, abrangendo as etapas de ingestão e validação de dados, cálculo e materialização de indicadores e publicação dos resultados em ambiente web interativo, com controle de versão e auditabilidade.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Foram utilizados dados públicos agregados de múltiplos sistemas do SUS: demografia (IBGE), nascidos vivos (SINASC), mortalidade (SIM), agravos (SINAN), Atenção Primária (SISAB/e-SUS AB), estabelecimentos (CNES), imunização (PNI/LocalizaSUS) e execução orçamentária (SIAF/SIOPS).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 metodologia propõe a automação ponta a ponta do processo “da planilha aos painéis e relatórios” por meio de um pipeline reprodutível com proveniência registrada em cada etapa. O fluxo operacional compreende: (i) coleta de fontes públicas; (ii) validação e normalização (padronização de codificação UTF-8, datas ISO-8601, chaves e domínios, além de checagens de consistência e completude); (iii) cálculo de indicadores materializados em views SQL com fórmulas declarativas e metadados (numerador, denominador, período e unidade); (iv) publicação via API; (v) e visualização no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 plataforma é composta por backend em FastAPI/SQLModel/PostgreSQL, responsável pelo processamento, auditoria e exposição dos resultados e metadados via REST, e frontend em React/Vite/TypeScript/Tailwind, que fornece dashboards e exportação automática dos quadros e tabelas exigidos.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tabs>
          <w:tab w:val="left" w:leader="none" w:pos="712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Arquitetura geral do pipeline RDQA/RAG.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410" cy="154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Fonte: Elaboração própria.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12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diagrama apresenta o fluxo do processo, desde as fontes de dados até a entrega de resultados (API, dashboards e PDFs). Destacando a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rastreabilidade de cada execução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tabs>
          <w:tab w:val="left" w:leader="none" w:pos="712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 garantir auditabilidade e reprodutibilidade, cada execução de geração de relatórios é identificada por um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Exec-ID (identificador único da execução) e acompanhada do hash SHA-256 (assinatura criptográfica do pacote exportado)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Esses identificadores são persistidos em banco e disponibilizados em endpoint público, permitindo a conferência independente das saídas a partir das mesmas versões de dados e regras.</w:t>
      </w:r>
    </w:p>
    <w:p w:rsidR="00000000" w:rsidDel="00000000" w:rsidP="00000000" w:rsidRDefault="00000000" w:rsidRPr="00000000" w14:paraId="00000029">
      <w:pPr>
        <w:tabs>
          <w:tab w:val="left" w:leader="none" w:pos="712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avaliação do artefato será conduzida em etapas posteriores, com base em métricas quantitativas de desempenho e consistência, considerando aspectos como cobertura dos quadros, redução de retrabalho e reprodutibilidade das execuções.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12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0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566.9291338582675" w:right="0" w:hanging="425.196850393700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dziq3bnvjl7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 DISCUSSÃO</w:t>
      </w:r>
    </w:p>
    <w:p w:rsidR="00000000" w:rsidDel="00000000" w:rsidP="00000000" w:rsidRDefault="00000000" w:rsidRPr="00000000" w14:paraId="0000002D">
      <w:pPr>
        <w:tabs>
          <w:tab w:val="left" w:leader="none" w:pos="90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artefato desenvolvido consiste em um pipeline reprodutível e auditável para a geração dos relatórios RDQA e RAG em saúde municipal. A solução integra processos de ingestão padronizada, normalização, validação explícita e cálculo determinístico de indicadores, com publicação automatizada por meio de API e painéis interativos. A execução em dados sintéticos demonstrou o funcionamento ponta a ponta do fluxo, gerando saídas idênticas sob o mesmo Exec-ID, com registro completo das versões de dados e de regras, além da manutenção de logs auditáveis. Em comparação com os processos manuais tradicionais, o modelo proposto aumenta a rastreabilidade e reduz significativamente a probabilidade de erros humanos, além de possibilitar reexecuções verificáveis de forma independente.</w:t>
      </w:r>
    </w:p>
    <w:p w:rsidR="00000000" w:rsidDel="00000000" w:rsidP="00000000" w:rsidRDefault="00000000" w:rsidRPr="00000000" w14:paraId="0000002F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2 apresenta uma visão geral da arquitetura funcional do sistema, destacando a sequência lógica de execução, desde a coleta de dados até a disponibilização dos relatórios e dashboards.</w:t>
      </w:r>
    </w:p>
    <w:p w:rsidR="00000000" w:rsidDel="00000000" w:rsidP="00000000" w:rsidRDefault="00000000" w:rsidRPr="00000000" w14:paraId="00000030">
      <w:pPr>
        <w:tabs>
          <w:tab w:val="left" w:leader="none" w:pos="712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2 -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Arquitetura funcional do pipeline RDQA/RAG.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Fonte: Elaboração própria.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backend foi implementado em FastAPI, utilizando SQLModel/SQLAlchemy e PostgreSQL como base de dados. Sua organização modular em camadas — models, schemas, repositories, services e API — garante escalabilidade e auditabilidade. As migrações de banco de dados são gerenciadas via Alembic, assegurando versionamento consistente. O frontend, desenvolvido em React, Vite e TypeScript, adota o framework Tailwind CSS e o conjunto de componentes shadcn/ui para interface responsiva. Essa arquitetura oferece painéis de visualização, filtros dinâmicos e exportação automática dos quadros exigidos pelos relatórios RDQA e RAG.</w:t>
      </w:r>
    </w:p>
    <w:p w:rsidR="00000000" w:rsidDel="00000000" w:rsidP="00000000" w:rsidRDefault="00000000" w:rsidRPr="00000000" w14:paraId="00000033">
      <w:pPr>
        <w:tabs>
          <w:tab w:val="left" w:leader="none" w:pos="712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3 -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Painel principal e interface de exportação automática.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Fonte: Elaboração própria.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foi projetado para operar de forma containerizada, por meio do uso de Docker, o que permite replicação local e empacotamento de scripts e dados de referência. Foram utilizados dados públicos agregados dos principais sistemas nacionais de informação em saúde, abrangendo os períodos de 2014 a 2025. As bases integradas incluem: IBGE, SINASC, SIM, SINAN, SISAB/e-SUS AB, CNES, PNI/LocalizaSUS e SIAF/SIOPS. Esses insumos alimentam indicadores-chave como taxas de mortalidade geral por mil habitantes, incidência de agravos por 100 mil habitantes e despesas orçamentárias por rubrica.</w:t>
      </w:r>
    </w:p>
    <w:p w:rsidR="00000000" w:rsidDel="00000000" w:rsidP="00000000" w:rsidRDefault="00000000" w:rsidRPr="00000000" w14:paraId="00000036">
      <w:pPr>
        <w:tabs>
          <w:tab w:val="left" w:leader="none" w:pos="712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4 -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de ingestão e integração das fontes de dados do SUS.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Fonte: Elaboração própria.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fluxo operacional “da planilha aos painéis e relatórios” foi estruturado em cinco etapas principais: </w:t>
      </w:r>
      <w:commentRangeStart w:id="3"/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ingestão de arquivos brutos e registros de proveniência (fonte, período, versão); (ii) validação e normalização (UTF-8, ISO-8601, chaves/dominios, checagens de consistência/completude); (iii) materialização de indicadores em Views SQL com fórmulas declarativas e metadados; (iv) publicação via API (REST) com cabeçalhos de rastreabilidade; (v) visualização e exportação no frontend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dashboards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quadros PDF).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5 demonstra esse fluxo, representando o encadeamento das etapas de processamento e o ponto em que cada módulo atua.</w:t>
      </w:r>
    </w:p>
    <w:p w:rsidR="00000000" w:rsidDel="00000000" w:rsidP="00000000" w:rsidRDefault="00000000" w:rsidRPr="00000000" w14:paraId="0000003A">
      <w:pPr>
        <w:tabs>
          <w:tab w:val="left" w:leader="none" w:pos="712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5 -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Etapas do pipeline “da planilha aos painéis e relatórios”.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Fonte: Elaboração própria.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a execução do pipeline, cada processamento é identificado por um Exec-ID, um código gerado automaticamente que representa uma execução específica do sistema. Esse identificador permite associar de forma inequívoca todos os arquivos, logs e saídas produzidos em uma determinada rodada de processamento. Além disso, para garantir a integridade dos pacotes exportados, é gerado um hash criptográfico SHA-256, armazenado junto ao registro do Exec-ID no banco de dados.</w:t>
      </w:r>
    </w:p>
    <w:p w:rsidR="00000000" w:rsidDel="00000000" w:rsidP="00000000" w:rsidRDefault="00000000" w:rsidRPr="00000000" w14:paraId="0000003D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informações são disponibilizadas em um endpoint público da API, o qual permite que qualquer usuário técnico verifique a validade e a integridade dos resultados gerados, assegurando transparência e auditabilidade das execuções. Essa funcionalidade é especialmente relevante no contexto da gestão pública, em que a rastreabilidade e a verificação independente das informações são essenciais para a prestação de contas e o controle social.</w:t>
      </w:r>
    </w:p>
    <w:p w:rsidR="00000000" w:rsidDel="00000000" w:rsidP="00000000" w:rsidRDefault="00000000" w:rsidRPr="00000000" w14:paraId="0000003E">
      <w:pPr>
        <w:tabs>
          <w:tab w:val="left" w:leader="none" w:pos="712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6 -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Endpoint público para consulta de Exec-ID e verificação de integridade das execuções.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Fonte: Elaboração própria.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712"/>
        </w:tabs>
        <w:spacing w:after="0" w:line="240" w:lineRule="auto"/>
        <w:ind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avaliação do artefato será realizada em etapas futuras, com base em métricas quantitativas de desempenho e consistência. Entre as variáveis a serem analisadas estão: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712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Consistência (MAPE): erro médio percentual entre planilhas originais e saídas da plataforma;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712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Cobertura: proporção de quadros e campos do RDQA/RAG gerados automaticamente;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leader="none" w:pos="712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Produtividade (horas): tempo necessário para fechamento quadrimestral (comparativo entre processo manual e automatizado);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leader="none" w:pos="712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Atualidade (TTP): tempo decorrido entre o fechamento do período e a publicação;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leader="none" w:pos="712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Desempenho: tempo total de ETL e latência P95 de respostas da API.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712"/>
        </w:tabs>
        <w:spacing w:after="0" w:line="240" w:lineRule="auto"/>
        <w:ind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resultados esperados incluem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redução do tempo de consolidação, melhoria na consistência dos indicadores e aumento da rastreabilidade e transparência nos processos de geração dos relatórios. Dessa forma, o pipeline proposto representa um avanço significativo na automação da prestação de contas em saúde municipal, ao oferecer um processo padronizado, verificável e replicável.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12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720" w:right="0" w:hanging="578.26771653543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ilm4owwz9ze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4A">
      <w:pPr>
        <w:tabs>
          <w:tab w:val="left" w:leader="none" w:pos="90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712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Deve basear-se exclusivamente nos resultados do trabalho. Evitar a repetição dos resultados em listagem subsequente, buscando, sim, confrontar o que se obteve com os objetivos inicialmente estabelecidos. Nesta seção, não deve ser utilizada citação direta ou indireta, devendo apresentar a opinião do(s) autor(es) respeitando os resultados da pesquisa. Retomar os objetivos propostos, apresentando a forma como eles foram alcançados.</w:t>
      </w:r>
    </w:p>
    <w:p w:rsidR="00000000" w:rsidDel="00000000" w:rsidP="00000000" w:rsidRDefault="00000000" w:rsidRPr="00000000" w14:paraId="0000004C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Caso os(as) autores(as) considerem que a pesquisa não é conclusiva, mas haja considerações a serem pontuadas, eles poderão descrevê-las nesta seção. Muitos artigos utilizam a estrutura IMRD, que segundo Medeiros e Tomasi (2021, local. 60) contém “[...] Introdução, Método, Resultados e Discussão (IMRD) [que] possibilita refletir sobre o processo de descoberta científica, o que leva a admitir que não se trata tão somente de uma questão formal.”</w:t>
      </w:r>
    </w:p>
    <w:p w:rsidR="00000000" w:rsidDel="00000000" w:rsidP="00000000" w:rsidRDefault="00000000" w:rsidRPr="00000000" w14:paraId="0000004D">
      <w:pPr>
        <w:tabs>
          <w:tab w:val="left" w:leader="none" w:pos="712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12"/>
        </w:tabs>
        <w:spacing w:after="0" w:line="240" w:lineRule="auto"/>
        <w:ind w:left="0" w:firstLine="566.929133858267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iml3xj7zbju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50">
      <w:pPr>
        <w:tabs>
          <w:tab w:val="left" w:leader="none" w:pos="709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09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ASSOCIAÇÃO BRASILEIRA DE NORMAS TÉCNICAS.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ABNT NBR 6028: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Informação e documentação – Resumo, resenha e recensão – Apresentação. Rio de Janeiro: ABNT, 2021.</w:t>
      </w:r>
    </w:p>
    <w:p w:rsidR="00000000" w:rsidDel="00000000" w:rsidP="00000000" w:rsidRDefault="00000000" w:rsidRPr="00000000" w14:paraId="00000052">
      <w:pPr>
        <w:tabs>
          <w:tab w:val="left" w:leader="none" w:pos="709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09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ASSOCIAÇÃO BRASILEIRA DE NORMAS TÉCNICAS [ABNT].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ABNT NBR 6023: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informação e documentação – Referências – Elaboração. 3. ed. Rio de Janeiro: ABNT, 2025.</w:t>
      </w:r>
    </w:p>
    <w:p w:rsidR="00000000" w:rsidDel="00000000" w:rsidP="00000000" w:rsidRDefault="00000000" w:rsidRPr="00000000" w14:paraId="00000054">
      <w:pPr>
        <w:tabs>
          <w:tab w:val="left" w:leader="none" w:pos="709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09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ASSOCIAÇÃO BRASILEIRA DE NORMAS TÉCNICAS.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ABNT NBR 10520: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informação e documentação – Citações em documentos – Apresentação. Rio de Janeiro: ABNT, 2023.</w:t>
      </w:r>
    </w:p>
    <w:p w:rsidR="00000000" w:rsidDel="00000000" w:rsidP="00000000" w:rsidRDefault="00000000" w:rsidRPr="00000000" w14:paraId="00000056">
      <w:pPr>
        <w:tabs>
          <w:tab w:val="left" w:leader="none" w:pos="709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MARCONI, Marina de Andrade; LAKATOS, Eva Maria.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 do trabalho científico: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projetos de pesquisa, pesquisa bibliográfica, teses de doutorado [...]. 9. ed. São Paulo: Atlas, 2021.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E-book.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[Minha Biblioteca]. Disponível em: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https://integrada.minhabiblioteca.com.br/reader/books/9788597026559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31 jul. 2023.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MEDEIROS, João Bosco; TOMASI, Carolina.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Redação de artigos científicos: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 de realização, seleção de periódicos, publicação. 2. ed. São Paulo: Atlas, 2021.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E-book.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[Minha Biblioteca]. Disponível em: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https://integrada.minhabiblioteca.com.br/reader/books/9788597026641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31 jul. 2023.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PEREIRA, Mauricio Gomes.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Artigos científicos: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redigir, publicar e avaliar. Rio de Janeiro: Guanabara Koogan, 2018.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E-book.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[Minha Biblioteca]. Disponível em: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https://integrada.minhabiblioteca.com.br/reader/books/978-85-277-2121-9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31 jul. 2023.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5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INFORMAÇÕES AUTORAIS</w:t>
      </w:r>
    </w:p>
    <w:p w:rsidR="00000000" w:rsidDel="00000000" w:rsidP="00000000" w:rsidRDefault="00000000" w:rsidRPr="00000000" w14:paraId="0000006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 completo do primeiro autor,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acadêmico, e-mail para contato.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 completo do segundo autor,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acadêmico, e-mail para contato.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 completo do Orientador.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acadêmico, e-mail para contato.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40" w:w="11907" w:orient="portrait"/>
      <w:pgMar w:bottom="1417" w:top="1417" w:left="1417" w:right="1417" w:header="709" w:footer="709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uilherme Domiciano Silva" w:id="2" w:date="2025-10-24T18:21:05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boa ideia deixar assim? (Indicando que a avaliação será feito apenas no futuro)</w:t>
      </w:r>
    </w:p>
  </w:comment>
  <w:comment w:author="Guilherme Domiciano Silva" w:id="1" w:date="2025-10-24T18:20:08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explicar melhor o que são essas coisas ou é o bastante?</w:t>
      </w:r>
    </w:p>
  </w:comment>
  <w:comment w:author="Fabiano Fagundes" w:id="0" w:date="2025-10-23T22:20:57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precisa ser mostrado em resultados e discussão.</w:t>
      </w:r>
    </w:p>
  </w:comment>
  <w:comment w:author="Fabiano Fagundes" w:id="3" w:date="2025-10-23T22:23:35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legal fazer um desenho desse fluxo</w:t>
      </w:r>
    </w:p>
  </w:comment>
  <w:comment w:author="Guilherme Domiciano Silva" w:id="4" w:date="2025-10-24T18:51:19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no mesmo modelo que a figura 1?</w:t>
      </w:r>
    </w:p>
  </w:comment>
  <w:comment w:author="Guilherme Domiciano Silva" w:id="6" w:date="2025-10-24T18:46:44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uma vez, está tudo bem em escrever dessa forma?</w:t>
      </w:r>
    </w:p>
  </w:comment>
  <w:comment w:author="Guilherme Domiciano Silva" w:id="5" w:date="2025-10-24T18:46:25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formato de artigo do jornada permite escrever desse jeito?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tabs>
        <w:tab w:val="left" w:leader="none" w:pos="709"/>
        <w:tab w:val="left" w:leader="none" w:pos="8505"/>
      </w:tabs>
      <w:spacing w:after="0" w:line="240" w:lineRule="auto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spacing w:after="0" w:line="240" w:lineRule="auto"/>
      <w:jc w:val="center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5408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886" r="886" t="0"/>
                  <a:stretch>
                    <a:fillRect/>
                  </a:stretch>
                </pic:blipFill>
                <pic:spPr>
                  <a:xfrm>
                    <a:off x="0" y="0"/>
                    <a:ext cx="7560000" cy="1540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right"/>
      <w:pPr>
        <w:ind w:left="720" w:hanging="578.2677165354331"/>
      </w:pPr>
      <w:rPr>
        <w:u w:val="none"/>
      </w:rPr>
    </w:lvl>
    <w:lvl w:ilvl="1">
      <w:start w:val="1"/>
      <w:numFmt w:val="decimal"/>
      <w:lvlText w:val="%1.%2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integrada.minhabiblioteca.com.br/reader/books/978-85-277-2121-9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integrada.minhabiblioteca.com.br/reader/books/9788597026641" TargetMode="Externa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integrada.minhabiblioteca.com.br/reader/books/9788597026559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