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7FC9" w14:textId="77777777" w:rsidR="003052BB" w:rsidRDefault="00000000">
      <w:pPr>
        <w:spacing w:after="40"/>
        <w:jc w:val="center"/>
      </w:pPr>
      <w:r>
        <w:rPr>
          <w:b/>
          <w:bCs/>
          <w:color w:val="16A34A"/>
          <w:sz w:val="32"/>
          <w:szCs w:val="32"/>
        </w:rPr>
        <w:t>MEMORANDO DE ENTENDIMENTO (MoU)</w:t>
      </w:r>
    </w:p>
    <w:p w14:paraId="6C61F1AC" w14:textId="77777777" w:rsidR="003052BB" w:rsidRDefault="00000000">
      <w:pPr>
        <w:spacing w:after="240"/>
        <w:jc w:val="center"/>
      </w:pPr>
      <w:r>
        <w:rPr>
          <w:b/>
          <w:bCs/>
          <w:color w:val="5F5E5A"/>
          <w:sz w:val="24"/>
          <w:szCs w:val="24"/>
        </w:rPr>
        <w:t>Parceria de Desenvolvimento — Plataforma de Gestão Patrimonial</w:t>
      </w:r>
    </w:p>
    <w:p w14:paraId="04814168" w14:textId="77777777" w:rsidR="003052BB" w:rsidRDefault="00000000">
      <w:pPr>
        <w:pBdr>
          <w:left w:val="single" w:sz="18" w:space="12" w:color="16A34A"/>
        </w:pBdr>
        <w:spacing w:after="240"/>
      </w:pPr>
      <w:r>
        <w:rPr>
          <w:i/>
          <w:iCs/>
          <w:color w:val="5F5E5A"/>
          <w:sz w:val="20"/>
          <w:szCs w:val="20"/>
        </w:rPr>
        <w:t>RASCUNHO PARA ALINHAMENTO — NÃO É CONTRATO DEFINITIVO. Este documento registra a intenção das partes e o framework da parceria. Não substitui contrato jurídico. Recomenda-se revisão por advogado antes da assinatura, especialmente das cláusulas de propriedade intelectual, remuneração e sociedade.</w:t>
      </w:r>
    </w:p>
    <w:p w14:paraId="6DB6F83D" w14:textId="77777777" w:rsidR="003052BB" w:rsidRDefault="00000000">
      <w:pPr>
        <w:pStyle w:val="Ttulo1"/>
        <w:spacing w:before="240" w:after="120"/>
      </w:pPr>
      <w:r>
        <w:rPr>
          <w:b/>
          <w:bCs/>
          <w:color w:val="1A1A1A"/>
        </w:rPr>
        <w:t>1. Partes</w:t>
      </w:r>
    </w:p>
    <w:p w14:paraId="1F5E249D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 xml:space="preserve">Parte Técnica: </w:t>
      </w:r>
      <w:r>
        <w:t>Guilherme Rodrigues Silva ("Desenvolvedor") — responsável pelo desenvolvimento, arquitetura e manutenção da plataforma de software.</w:t>
      </w:r>
    </w:p>
    <w:p w14:paraId="79AF569A" w14:textId="02590E90" w:rsidR="003052BB" w:rsidRDefault="00000000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 xml:space="preserve">Parte de Negócio: </w:t>
      </w:r>
      <w:r w:rsidR="00185029">
        <w:t>Adriel</w:t>
      </w:r>
      <w:r>
        <w:t xml:space="preserve"> ______________ ("Consultor") — assessor/consultor financeiro, responsável por conhecimento de domínio (planejamento patrimonial de alta renda), validação do produto e distribuição comercial (carteira de clientes e rede de consultores).</w:t>
      </w:r>
    </w:p>
    <w:p w14:paraId="569A3B4B" w14:textId="77777777" w:rsidR="003052BB" w:rsidRDefault="00000000">
      <w:pPr>
        <w:pStyle w:val="Ttulo1"/>
        <w:spacing w:before="240" w:after="120"/>
      </w:pPr>
      <w:r>
        <w:rPr>
          <w:b/>
          <w:bCs/>
          <w:color w:val="1A1A1A"/>
        </w:rPr>
        <w:t>2. Objeto</w:t>
      </w:r>
    </w:p>
    <w:p w14:paraId="75E19511" w14:textId="77777777" w:rsidR="003052BB" w:rsidRDefault="00000000">
      <w:pPr>
        <w:spacing w:after="120"/>
      </w:pPr>
      <w:r>
        <w:t>Desenvolver, validar e comercializar em conjunto uma plataforma de gestão patrimonial dedicada a assessores financeiros de clientes de alta renda, com foco em consolidação de patrimônio multi-moeda, acompanhamento de ativos, planejamento e geração de relatórios profissionais.</w:t>
      </w:r>
    </w:p>
    <w:p w14:paraId="6A20B1CC" w14:textId="77777777" w:rsidR="003052BB" w:rsidRDefault="00000000">
      <w:pPr>
        <w:spacing w:after="120"/>
      </w:pPr>
      <w:r>
        <w:t>A plataforma poderá reutilizar tecnologia e módulos já desenvolvidos pelo Desenvolvedor (ex.: módulo de assessoria, autenticação, cobrança), mas constitui produto distinto do aplicativo de finanças pessoais existente (FinDog).</w:t>
      </w:r>
    </w:p>
    <w:p w14:paraId="0351CC6F" w14:textId="77777777" w:rsidR="003052BB" w:rsidRDefault="00000000">
      <w:pPr>
        <w:pStyle w:val="Ttulo1"/>
        <w:spacing w:before="240" w:after="120"/>
      </w:pPr>
      <w:r>
        <w:rPr>
          <w:b/>
          <w:bCs/>
          <w:color w:val="1A1A1A"/>
        </w:rPr>
        <w:t>3. Contribuições de cada parte</w:t>
      </w:r>
    </w:p>
    <w:p w14:paraId="741C7252" w14:textId="77777777" w:rsidR="003052BB" w:rsidRDefault="00000000">
      <w:pPr>
        <w:spacing w:after="120"/>
      </w:pPr>
      <w:r>
        <w:rPr>
          <w:b/>
          <w:bCs/>
        </w:rPr>
        <w:t>Desenvolvedor:</w:t>
      </w:r>
    </w:p>
    <w:p w14:paraId="025AB63F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Desenvolvimento, arquitetura, hospedagem e manutenção da plataforma.</w:t>
      </w:r>
    </w:p>
    <w:p w14:paraId="6D0E3C11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Adaptação do software às necessidades levantadas pelo Consultor.</w:t>
      </w:r>
    </w:p>
    <w:p w14:paraId="56234652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Tempo e conhecimento técnico investidos (sem cobrança de honorários durante a Fase Experimental — ver cláusula 4).</w:t>
      </w:r>
    </w:p>
    <w:p w14:paraId="224DA928" w14:textId="77777777" w:rsidR="003052BB" w:rsidRDefault="00000000">
      <w:pPr>
        <w:spacing w:after="120"/>
      </w:pPr>
      <w:r>
        <w:rPr>
          <w:b/>
          <w:bCs/>
        </w:rPr>
        <w:t>Consultor:</w:t>
      </w:r>
    </w:p>
    <w:p w14:paraId="185F368E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Levantamento escrito e detalhado dos requisitos do negócio.</w:t>
      </w:r>
    </w:p>
    <w:p w14:paraId="17BCA2F4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Conhecimento de domínio (planejamento patrimonial, alta renda, mercado internacional).</w:t>
      </w:r>
    </w:p>
    <w:p w14:paraId="3AC43B6A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Validação contínua e testes com casos reais.</w:t>
      </w:r>
    </w:p>
    <w:p w14:paraId="15282402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Distribuição comercial: apresentação a clientes e a outros assessores/consultores da rede.</w:t>
      </w:r>
    </w:p>
    <w:p w14:paraId="3FFA13AE" w14:textId="77777777" w:rsidR="003052BB" w:rsidRDefault="00000000">
      <w:pPr>
        <w:pStyle w:val="Ttulo1"/>
        <w:spacing w:before="240" w:after="120"/>
      </w:pPr>
      <w:r>
        <w:rPr>
          <w:b/>
          <w:bCs/>
          <w:color w:val="1A1A1A"/>
        </w:rPr>
        <w:t>4. Fases da parceria</w:t>
      </w:r>
    </w:p>
    <w:p w14:paraId="77D1C177" w14:textId="77777777" w:rsidR="003052BB" w:rsidRDefault="00000000">
      <w:pPr>
        <w:spacing w:after="120"/>
      </w:pPr>
      <w:r>
        <w:rPr>
          <w:b/>
          <w:bCs/>
        </w:rPr>
        <w:t>Fase 1 — Experimental (sem remuneração financeira):</w:t>
      </w:r>
    </w:p>
    <w:p w14:paraId="44F7E878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Duração estimada: ________ dias a partir da entrega do levantamento escrito pelo Consultor.</w:t>
      </w:r>
    </w:p>
    <w:p w14:paraId="759E0F58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O Desenvolvedor adapta a plataforma às necessidades do Consultor.</w:t>
      </w:r>
    </w:p>
    <w:p w14:paraId="4BBF954F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Reuniões de alinhamento periódicas (ex.: semanais).</w:t>
      </w:r>
    </w:p>
    <w:p w14:paraId="0FCFD8BC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>Nenhuma das partes tem obrigação de continuidade</w:t>
      </w:r>
      <w:r>
        <w:t xml:space="preserve"> ao fim desta fase se o resultado não atender.</w:t>
      </w:r>
    </w:p>
    <w:p w14:paraId="33BA6064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O tempo investido nesta fase </w:t>
      </w:r>
      <w:r>
        <w:rPr>
          <w:b/>
          <w:bCs/>
        </w:rPr>
        <w:t>não gera dívida nem obrigação de pagamento</w:t>
      </w:r>
      <w:r>
        <w:t xml:space="preserve"> de nenhum lado.</w:t>
      </w:r>
    </w:p>
    <w:p w14:paraId="1010A9BB" w14:textId="77777777" w:rsidR="003052BB" w:rsidRDefault="00000000">
      <w:pPr>
        <w:spacing w:after="120"/>
      </w:pPr>
      <w:r>
        <w:rPr>
          <w:b/>
          <w:bCs/>
        </w:rPr>
        <w:t>Fase 2 — Comercial (a partir da validação):</w:t>
      </w:r>
    </w:p>
    <w:p w14:paraId="6A4C36C2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Inicia quando o Consultor confirmar que a plataforma atende ao ponto de ser comercializável.</w:t>
      </w:r>
    </w:p>
    <w:p w14:paraId="08DDA9CA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A partir daqui vale o Modelo de Remuneração definido na cláusula 5.</w:t>
      </w:r>
    </w:p>
    <w:p w14:paraId="3AC760C8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Reduzida a acordo específico/aditivo antes do início.</w:t>
      </w:r>
    </w:p>
    <w:p w14:paraId="0DD8AD8E" w14:textId="77777777" w:rsidR="003052BB" w:rsidRDefault="00000000">
      <w:pPr>
        <w:pStyle w:val="Ttulo1"/>
        <w:spacing w:before="240" w:after="120"/>
      </w:pPr>
      <w:r>
        <w:rPr>
          <w:b/>
          <w:bCs/>
          <w:color w:val="1A1A1A"/>
        </w:rPr>
        <w:lastRenderedPageBreak/>
        <w:t>5. Modelo de remuneração (A DEFINIR — opções para negociação)</w:t>
      </w:r>
    </w:p>
    <w:p w14:paraId="4C86CC58" w14:textId="77777777" w:rsidR="003052BB" w:rsidRDefault="00000000">
      <w:pPr>
        <w:spacing w:after="120"/>
      </w:pPr>
      <w:r>
        <w:rPr>
          <w:i/>
          <w:iCs/>
          <w:color w:val="5F5E5A"/>
        </w:rPr>
        <w:t>Nenhuma opção está fechada. Escolher uma (ou combinar) na Fase 2.</w:t>
      </w:r>
    </w:p>
    <w:p w14:paraId="6A5A28CD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 xml:space="preserve">Opção A — Sociedade (equity): </w:t>
      </w:r>
      <w:r>
        <w:t>constituição de sociedade com divisão de participação (ex.: ____% Desenvolvedor / ____% Consultor), refletindo aporte de tecnologia vs. domínio + distribuição.</w:t>
      </w:r>
    </w:p>
    <w:p w14:paraId="1FDC42B3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 xml:space="preserve">Opção B — Revenue share: </w:t>
      </w:r>
      <w:r>
        <w:t>percentual sobre a receita recorrente por cliente ativo (ex.: ____% para o Desenvolvedor). Escala com o número de clientes na rede do Consultor.</w:t>
      </w:r>
    </w:p>
    <w:p w14:paraId="5FF79B07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 xml:space="preserve">Opção C — Licença + fee por cliente: </w:t>
      </w:r>
      <w:r>
        <w:t>valor por cliente ativo na plataforma, revertido ao Desenvolvedor.</w:t>
      </w:r>
    </w:p>
    <w:p w14:paraId="390338C1" w14:textId="77777777" w:rsidR="003052BB" w:rsidRDefault="00000000">
      <w:pPr>
        <w:spacing w:after="120"/>
      </w:pPr>
      <w:r>
        <w:rPr>
          <w:b/>
          <w:bCs/>
        </w:rPr>
        <w:t xml:space="preserve">Referência de mercado citada: </w:t>
      </w:r>
      <w:r>
        <w:t>planejadores patrimoniais pagam R$1.000–2.000/cliente por plataformas dedicadas a alta renda. O modelo escolhido deve refletir esse potencial.</w:t>
      </w:r>
    </w:p>
    <w:p w14:paraId="4BA51C74" w14:textId="77777777" w:rsidR="003052BB" w:rsidRDefault="00000000">
      <w:pPr>
        <w:pStyle w:val="Ttulo1"/>
        <w:spacing w:before="240" w:after="120"/>
      </w:pPr>
      <w:r>
        <w:rPr>
          <w:b/>
          <w:bCs/>
          <w:color w:val="1A1A1A"/>
        </w:rPr>
        <w:t>6. Propriedade intelectual</w:t>
      </w:r>
    </w:p>
    <w:p w14:paraId="18416DE7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O </w:t>
      </w:r>
      <w:r>
        <w:rPr>
          <w:b/>
          <w:bCs/>
        </w:rPr>
        <w:t>código-fonte, arquitetura e propriedade intelectual</w:t>
      </w:r>
      <w:r>
        <w:t xml:space="preserve"> da plataforma são e permanecem de titularidade do Desenvolvedor durante toda a Fase Experimental.</w:t>
      </w:r>
    </w:p>
    <w:p w14:paraId="2121EFA4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Caso a parceria evolua para sociedade (Opção A), a titularidade da PI passa a ser regida pelo contrato social.</w:t>
      </w:r>
    </w:p>
    <w:p w14:paraId="2DF32D50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Caso a parceria não avance para a Fase 2, a PI permanece </w:t>
      </w:r>
      <w:r>
        <w:rPr>
          <w:b/>
          <w:bCs/>
        </w:rPr>
        <w:t>integralmente com o Desenvolvedor</w:t>
      </w:r>
      <w:r>
        <w:t>, e o Consultor não adquire qualquer direito sobre o software.</w:t>
      </w:r>
    </w:p>
    <w:p w14:paraId="651E1B85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O conhecimento de domínio e a carteira de clientes permanecem do Consultor.</w:t>
      </w:r>
    </w:p>
    <w:p w14:paraId="4F12A5C4" w14:textId="77777777" w:rsidR="003052BB" w:rsidRDefault="00000000">
      <w:pPr>
        <w:pStyle w:val="Ttulo1"/>
        <w:spacing w:before="240" w:after="120"/>
      </w:pPr>
      <w:r>
        <w:rPr>
          <w:b/>
          <w:bCs/>
          <w:color w:val="1A1A1A"/>
        </w:rPr>
        <w:t>7. Confidencialidade e proteção de dados (LGPD)</w:t>
      </w:r>
    </w:p>
    <w:p w14:paraId="196E31FD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Ambas as partes manterão sigilo sobre informações comerciais, técnicas e estratégicas trocadas.</w:t>
      </w:r>
    </w:p>
    <w:p w14:paraId="33806BF6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Dados de clientes finais acessados durante a parceria serão tratados conforme a LGPD (Lei 13.709/2018).</w:t>
      </w:r>
    </w:p>
    <w:p w14:paraId="60BA86EB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O acesso do Desenvolvedor à plataforma atual do Consultor, quando concedido, será em modo leitura e exclusivamente para fins de análise técnica.</w:t>
      </w:r>
    </w:p>
    <w:p w14:paraId="6ED6DB4E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Poderá ser firmado um acordo de confidencialidade (NDA) específico, se qualquer parte solicitar.</w:t>
      </w:r>
    </w:p>
    <w:p w14:paraId="43A83BCB" w14:textId="77777777" w:rsidR="003052BB" w:rsidRDefault="00000000">
      <w:pPr>
        <w:pStyle w:val="Ttulo1"/>
        <w:spacing w:before="240" w:after="120"/>
      </w:pPr>
      <w:r>
        <w:rPr>
          <w:b/>
          <w:bCs/>
          <w:color w:val="1A1A1A"/>
        </w:rPr>
        <w:t>8. Exclusividade</w:t>
      </w:r>
    </w:p>
    <w:p w14:paraId="280AA959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Durante a Fase Experimental, não há exclusividade — ambas as partes podem explorar outras oportunidades.</w:t>
      </w:r>
    </w:p>
    <w:p w14:paraId="3C0F8390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Cláusula de exclusividade (se houver) será negociada na Fase 2.</w:t>
      </w:r>
    </w:p>
    <w:p w14:paraId="3A37090C" w14:textId="77777777" w:rsidR="003052BB" w:rsidRDefault="00000000">
      <w:pPr>
        <w:pStyle w:val="Ttulo1"/>
        <w:spacing w:before="240" w:after="120"/>
      </w:pPr>
      <w:r>
        <w:rPr>
          <w:b/>
          <w:bCs/>
          <w:color w:val="1A1A1A"/>
        </w:rPr>
        <w:t>9. Encerramento</w:t>
      </w:r>
    </w:p>
    <w:p w14:paraId="6C62F41D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Qualquer parte pode encerrar a parceria durante a Fase Experimental mediante aviso, sem ônus.</w:t>
      </w:r>
    </w:p>
    <w:p w14:paraId="2B3BE5D0" w14:textId="77777777" w:rsidR="003052BB" w:rsidRDefault="00000000">
      <w:pPr>
        <w:pStyle w:val="PargrafodaLista"/>
        <w:numPr>
          <w:ilvl w:val="0"/>
          <w:numId w:val="1"/>
        </w:numPr>
        <w:spacing w:after="60"/>
      </w:pPr>
      <w:r>
        <w:t>No encerramento: cada parte retém o que trouxe (Desenvolvedor = software/PI; Consultor = clientes/domínio); dados dos clientes são devolvidos/eliminados conforme a LGPD.</w:t>
      </w:r>
    </w:p>
    <w:p w14:paraId="33EC17FB" w14:textId="77777777" w:rsidR="003052BB" w:rsidRDefault="00000000">
      <w:pPr>
        <w:pStyle w:val="Ttulo1"/>
        <w:spacing w:before="240" w:after="120"/>
      </w:pPr>
      <w:r>
        <w:rPr>
          <w:b/>
          <w:bCs/>
          <w:color w:val="1A1A1A"/>
        </w:rPr>
        <w:t>10. Natureza deste documento</w:t>
      </w:r>
    </w:p>
    <w:p w14:paraId="0360D39A" w14:textId="77777777" w:rsidR="003052BB" w:rsidRDefault="00000000">
      <w:pPr>
        <w:spacing w:after="120"/>
      </w:pPr>
      <w:r>
        <w:t>Este Memorando reflete a intenção das partes e serve de base para um contrato definitivo. Não cria vínculo empregatício, societário ou obrigação financeira automática entre as partes. Vínculos definitivos dependerão de instrumento próprio.</w:t>
      </w:r>
    </w:p>
    <w:p w14:paraId="34A25F23" w14:textId="77777777" w:rsidR="003052BB" w:rsidRDefault="003052BB">
      <w:pPr>
        <w:pBdr>
          <w:top w:val="single" w:sz="6" w:space="8" w:color="CCCCCC"/>
        </w:pBdr>
        <w:spacing w:before="360" w:after="240"/>
      </w:pPr>
    </w:p>
    <w:p w14:paraId="5428914A" w14:textId="77777777" w:rsidR="003052BB" w:rsidRDefault="00000000">
      <w:pPr>
        <w:spacing w:after="360"/>
      </w:pPr>
      <w:r>
        <w:rPr>
          <w:b/>
          <w:bCs/>
        </w:rPr>
        <w:lastRenderedPageBreak/>
        <w:t>Data: ______ / ______ / __________</w:t>
      </w:r>
    </w:p>
    <w:p w14:paraId="335A99FA" w14:textId="77777777" w:rsidR="003052BB" w:rsidRDefault="00000000">
      <w:pPr>
        <w:spacing w:after="200"/>
      </w:pPr>
      <w:r>
        <w:t>Desenvolvedor: ____________________________________</w:t>
      </w:r>
    </w:p>
    <w:p w14:paraId="35D1DA59" w14:textId="77777777" w:rsidR="003052BB" w:rsidRDefault="00000000">
      <w:r>
        <w:t>Consultor: ____________________________________</w:t>
      </w:r>
    </w:p>
    <w:sectPr w:rsidR="003052B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C4BCA"/>
    <w:multiLevelType w:val="hybridMultilevel"/>
    <w:tmpl w:val="4A2A9464"/>
    <w:lvl w:ilvl="0" w:tplc="5FAEEAE2">
      <w:start w:val="1"/>
      <w:numFmt w:val="bullet"/>
      <w:lvlText w:val="●"/>
      <w:lvlJc w:val="left"/>
      <w:pPr>
        <w:ind w:left="720" w:hanging="360"/>
      </w:pPr>
    </w:lvl>
    <w:lvl w:ilvl="1" w:tplc="84C4B3F4">
      <w:start w:val="1"/>
      <w:numFmt w:val="bullet"/>
      <w:lvlText w:val="○"/>
      <w:lvlJc w:val="left"/>
      <w:pPr>
        <w:ind w:left="1440" w:hanging="360"/>
      </w:pPr>
    </w:lvl>
    <w:lvl w:ilvl="2" w:tplc="2D14A24A">
      <w:start w:val="1"/>
      <w:numFmt w:val="bullet"/>
      <w:lvlText w:val="■"/>
      <w:lvlJc w:val="left"/>
      <w:pPr>
        <w:ind w:left="2160" w:hanging="360"/>
      </w:pPr>
    </w:lvl>
    <w:lvl w:ilvl="3" w:tplc="97A8B448">
      <w:start w:val="1"/>
      <w:numFmt w:val="bullet"/>
      <w:lvlText w:val="●"/>
      <w:lvlJc w:val="left"/>
      <w:pPr>
        <w:ind w:left="2880" w:hanging="360"/>
      </w:pPr>
    </w:lvl>
    <w:lvl w:ilvl="4" w:tplc="B2EEE02A">
      <w:start w:val="1"/>
      <w:numFmt w:val="bullet"/>
      <w:lvlText w:val="○"/>
      <w:lvlJc w:val="left"/>
      <w:pPr>
        <w:ind w:left="3600" w:hanging="360"/>
      </w:pPr>
    </w:lvl>
    <w:lvl w:ilvl="5" w:tplc="3118B5C8">
      <w:start w:val="1"/>
      <w:numFmt w:val="bullet"/>
      <w:lvlText w:val="■"/>
      <w:lvlJc w:val="left"/>
      <w:pPr>
        <w:ind w:left="4320" w:hanging="360"/>
      </w:pPr>
    </w:lvl>
    <w:lvl w:ilvl="6" w:tplc="5AD297C6">
      <w:start w:val="1"/>
      <w:numFmt w:val="bullet"/>
      <w:lvlText w:val="●"/>
      <w:lvlJc w:val="left"/>
      <w:pPr>
        <w:ind w:left="5040" w:hanging="360"/>
      </w:pPr>
    </w:lvl>
    <w:lvl w:ilvl="7" w:tplc="06146E04">
      <w:start w:val="1"/>
      <w:numFmt w:val="bullet"/>
      <w:lvlText w:val="●"/>
      <w:lvlJc w:val="left"/>
      <w:pPr>
        <w:ind w:left="5760" w:hanging="360"/>
      </w:pPr>
    </w:lvl>
    <w:lvl w:ilvl="8" w:tplc="FAA40616">
      <w:start w:val="1"/>
      <w:numFmt w:val="bullet"/>
      <w:lvlText w:val="●"/>
      <w:lvlJc w:val="left"/>
      <w:pPr>
        <w:ind w:left="6480" w:hanging="360"/>
      </w:pPr>
    </w:lvl>
  </w:abstractNum>
  <w:num w:numId="1" w16cid:durableId="1815490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2BB"/>
    <w:rsid w:val="00185029"/>
    <w:rsid w:val="003052BB"/>
    <w:rsid w:val="009D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C3F3"/>
  <w15:docId w15:val="{EB86F3A5-C151-4B76-99CE-C19DE59B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749</Words>
  <Characters>4586</Characters>
  <Application>Microsoft Office Word</Application>
  <DocSecurity>0</DocSecurity>
  <Lines>81</Lines>
  <Paragraphs>57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 de Entendimento — Parceria Gestão Patrimonial</dc:title>
  <dc:creator>Meu FinDog</dc:creator>
  <cp:lastModifiedBy>Guilherme Rodrigues</cp:lastModifiedBy>
  <cp:revision>3</cp:revision>
  <dcterms:created xsi:type="dcterms:W3CDTF">2026-07-13T19:03:00Z</dcterms:created>
  <dcterms:modified xsi:type="dcterms:W3CDTF">2026-07-13T19:06:00Z</dcterms:modified>
</cp:coreProperties>
</file>