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pPr>
      <w:r>
        <w:rPr>
          <w:b/>
          <w:color w:val="16213E"/>
          <w:sz w:val="32"/>
          <w:szCs w:val="32"/>
          <w:rFonts w:ascii="Calibri" w:hAnsi="Calibri"/>
        </w:rPr>
        <w:t xml:space="preserve">PARECER TÉCNICO DE CÁLCULO</w:t>
      </w:r>
    </w:p>
    <w:p>
      <w:pPr>
        <w:jc w:val="center"/>
        <w:spacing w:after="220"/>
      </w:pPr>
      <w:r>
        <w:rPr>
          <w:i/>
          <w:color w:val="5A6472"/>
          <w:sz w:val="19"/>
          <w:szCs w:val="19"/>
          <w:rFonts w:ascii="Calibri" w:hAnsi="Calibri"/>
        </w:rPr>
        <w:t xml:space="preserve">Impugnação ao cálculo de liquidação apresentado pela parte contrária</w:t>
      </w:r>
    </w:p>
    <w:p>
      <w:pPr>
        <w:spacing w:after="120" w:before="240"/>
      </w:pPr>
      <w:r>
        <w:rPr>
          <w:b/>
          <w:color w:val="16213E"/>
          <w:sz w:val="28"/>
          <w:szCs w:val="28"/>
          <w:rFonts w:ascii="Calibri" w:hAnsi="Calibri"/>
        </w:rPr>
        <w:t xml:space="preserve">1. Identificação</w:t>
      </w:r>
    </w:p>
    <w:tbl>
      <w:tblPr>
        <w:tblW w:w="9000" w:type="dxa"/>
        <w:tblLayout w:type="fixed"/>
      </w:tblPr>
      <w:tblGrid>
        <w:gridCol w:w="2900"/>
        <w:gridCol w:w="6100"/>
      </w:tblGrid>
      <w:tr>
        <w:tc>
          <w:tcPr>
            <w:tcW w:w="2900" w:type="dxa"/>
            <w:shd w:val="clear" w:color="auto" w:fill="F2F5F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Processo nº</w:t>
            </w:r>
          </w:p>
        </w:tc>
        <w:tc>
          <w:tcPr>
            <w:tcW w:w="61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0011061-52.2025.5.15.0028</w:t>
            </w:r>
          </w:p>
        </w:tc>
      </w:tr>
      <w:tr>
        <w:tc>
          <w:tcPr>
            <w:tcW w:w="2900" w:type="dxa"/>
            <w:shd w:val="clear" w:color="auto" w:fill="F2F5F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Reclamante</w:t>
            </w:r>
          </w:p>
        </w:tc>
        <w:tc>
          <w:tcPr>
            <w:tcW w:w="61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NIVALDO XXX</w:t>
            </w:r>
          </w:p>
        </w:tc>
      </w:tr>
      <w:tr>
        <w:tc>
          <w:tcPr>
            <w:tcW w:w="2900" w:type="dxa"/>
            <w:shd w:val="clear" w:color="auto" w:fill="F2F5F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Reclamada(s)</w:t>
            </w:r>
          </w:p>
        </w:tc>
        <w:tc>
          <w:tcPr>
            <w:tcW w:w="61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RODOBINHO XXX</w:t>
            </w:r>
          </w:p>
        </w:tc>
      </w:tr>
      <w:tr>
        <w:tc>
          <w:tcPr>
            <w:tcW w:w="2900" w:type="dxa"/>
            <w:shd w:val="clear" w:color="auto" w:fill="F2F5F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Vara / Tribunal</w:t>
            </w:r>
          </w:p>
        </w:tc>
        <w:tc>
          <w:tcPr>
            <w:tcW w:w="61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28ª VT de Campinas</w:t>
            </w:r>
          </w:p>
        </w:tc>
      </w:tr>
      <w:tr>
        <w:tc>
          <w:tcPr>
            <w:tcW w:w="2900" w:type="dxa"/>
            <w:shd w:val="clear" w:color="auto" w:fill="F2F5F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Objeto</w:t>
            </w:r>
          </w:p>
        </w:tc>
        <w:tc>
          <w:tcPr>
            <w:tcW w:w="61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Impugnação ao cálculo apresentado — Contadoria da Autora</w:t>
            </w:r>
          </w:p>
        </w:tc>
      </w:tr>
      <w:tr>
        <w:tc>
          <w:tcPr>
            <w:tcW w:w="2900" w:type="dxa"/>
            <w:shd w:val="clear" w:color="auto" w:fill="F2F5F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Valor do cálculo</w:t>
            </w:r>
          </w:p>
        </w:tc>
        <w:tc>
          <w:tcPr>
            <w:tcW w:w="61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R$ 402.118,73</w:t>
            </w:r>
          </w:p>
        </w:tc>
      </w:tr>
      <w:tr>
        <w:tc>
          <w:tcPr>
            <w:tcW w:w="2900" w:type="dxa"/>
            <w:shd w:val="clear" w:color="auto" w:fill="F2F5F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Data de atualização</w:t>
            </w:r>
          </w:p>
        </w:tc>
        <w:tc>
          <w:tcPr>
            <w:tcW w:w="61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06/2026</w:t>
            </w:r>
          </w:p>
        </w:tc>
      </w:tr>
    </w:tbl>
    <w:p>
      <w:pPr>
        <w:spacing w:after="120"/>
      </w:pPr>
      <w:r>
        <w:rPr>
          <w:sz w:val="20"/>
          <w:szCs w:val="20"/>
          <w:rFonts w:ascii="Calibri" w:hAnsi="Calibri"/>
        </w:rPr>
        <w:t xml:space="preserve"/>
      </w:r>
    </w:p>
    <w:p>
      <w:pPr>
        <w:spacing w:after="120" w:before="240"/>
      </w:pPr>
      <w:r>
        <w:rPr>
          <w:b/>
          <w:color w:val="16213E"/>
          <w:sz w:val="28"/>
          <w:szCs w:val="28"/>
          <w:rFonts w:ascii="Calibri" w:hAnsi="Calibri"/>
        </w:rPr>
        <w:t xml:space="preserve">2. Parâmetros da condenação</w:t>
      </w:r>
    </w:p>
    <w:p>
      <w:pPr>
        <w:jc w:val="both"/>
        <w:spacing w:after="120"/>
      </w:pPr>
      <w:r>
        <w:rPr>
          <w:sz w:val="19"/>
          <w:szCs w:val="19"/>
          <w:rFonts w:ascii="Calibri" w:hAnsi="Calibri"/>
        </w:rPr>
        <w:t xml:space="preserve">Os parâmetros a seguir decorrem do que foi expressamente deferido e transitado em julgado, sendo vedada, em sede de liquidação, qualquer alteração do julgado.</w:t>
      </w:r>
    </w:p>
    <w:p>
      <w:pPr>
        <w:spacing w:after="120" w:before="240"/>
      </w:pPr>
      <w:r>
        <w:rPr>
          <w:b/>
          <w:color w:val="16213E"/>
          <w:sz w:val="24"/>
          <w:szCs w:val="24"/>
          <w:rFonts w:ascii="Calibri" w:hAnsi="Calibri"/>
        </w:rPr>
        <w:t xml:space="preserve">2.1 Verbas deferidas</w:t>
      </w:r>
    </w:p>
    <w:p>
      <w:pPr>
        <w:ind w:left="360"/>
        <w:spacing w:after="80"/>
      </w:pPr>
      <w:r>
        <w:rPr>
          <w:sz w:val="19"/>
          <w:szCs w:val="19"/>
          <w:rFonts w:ascii="Calibri" w:hAnsi="Calibri"/>
        </w:rPr>
        <w:t xml:space="preserve">•  Horas extras excedentes da 8ª diária — período 2022-08-09 a 2024-01-08; adicional 50%; divisor 220; reflexos: 13º, férias+1/3, FGTS (Sentença, fl. 413)</w:t>
      </w:r>
    </w:p>
    <w:p>
      <w:pPr>
        <w:ind w:left="720"/>
        <w:spacing w:after="100"/>
      </w:pPr>
      <w:r>
        <w:rPr>
          <w:i/>
          <w:color w:val="5A6472"/>
          <w:sz w:val="17"/>
          <w:szCs w:val="17"/>
          <w:rFonts w:ascii="Calibri" w:hAnsi="Calibri"/>
        </w:rPr>
        <w:t xml:space="preserve">“defiro horas extras, adicional de 50%, divisor 220”</w:t>
      </w:r>
    </w:p>
    <w:p>
      <w:pPr>
        <w:ind w:left="360"/>
        <w:spacing w:after="80"/>
      </w:pPr>
      <w:r>
        <w:rPr>
          <w:sz w:val="19"/>
          <w:szCs w:val="19"/>
          <w:rFonts w:ascii="Calibri" w:hAnsi="Calibri"/>
        </w:rPr>
        <w:t xml:space="preserve">•  Intervalo intrajornada suprimido (Sentença, fl. 414)</w:t>
      </w:r>
    </w:p>
    <w:p>
      <w:pPr>
        <w:ind w:left="720"/>
        <w:spacing w:after="100"/>
      </w:pPr>
      <w:r>
        <w:rPr>
          <w:i/>
          <w:color w:val="5A6472"/>
          <w:sz w:val="17"/>
          <w:szCs w:val="17"/>
          <w:rFonts w:ascii="Calibri" w:hAnsi="Calibri"/>
        </w:rPr>
        <w:t xml:space="preserve">“defiro 1 hora diária pela supressão do intervalo intrajornada”</w:t>
      </w:r>
    </w:p>
    <w:p>
      <w:pPr>
        <w:spacing w:after="120" w:before="240"/>
      </w:pPr>
      <w:r>
        <w:rPr>
          <w:b/>
          <w:color w:val="16213E"/>
          <w:sz w:val="24"/>
          <w:szCs w:val="24"/>
          <w:rFonts w:ascii="Calibri" w:hAnsi="Calibri"/>
        </w:rPr>
        <w:t xml:space="preserve">2.2 Verbas não deferidas / excluídas</w:t>
      </w:r>
    </w:p>
    <w:p>
      <w:pPr>
        <w:ind w:left="360"/>
        <w:spacing w:after="80"/>
      </w:pPr>
      <w:r>
        <w:rPr>
          <w:sz w:val="19"/>
          <w:szCs w:val="19"/>
          <w:rFonts w:ascii="Calibri" w:hAnsi="Calibri"/>
        </w:rPr>
        <w:t xml:space="preserve">•  Salário extrafolha — INDEFERIDA (Sentença, fl. 415)</w:t>
      </w:r>
    </w:p>
    <w:p>
      <w:pPr>
        <w:ind w:left="360"/>
        <w:spacing w:after="80"/>
      </w:pPr>
      <w:r>
        <w:rPr>
          <w:sz w:val="19"/>
          <w:szCs w:val="19"/>
          <w:rFonts w:ascii="Calibri" w:hAnsi="Calibri"/>
        </w:rPr>
        <w:t xml:space="preserve">•  Adicional de periculosidade — EXCLUÍDA (Acórdão, fl. 638)</w:t>
      </w:r>
    </w:p>
    <w:p>
      <w:pPr>
        <w:spacing w:after="120" w:before="240"/>
      </w:pPr>
      <w:r>
        <w:rPr>
          <w:b/>
          <w:color w:val="16213E"/>
          <w:sz w:val="24"/>
          <w:szCs w:val="24"/>
          <w:rFonts w:ascii="Calibri" w:hAnsi="Calibri"/>
        </w:rPr>
        <w:t xml:space="preserve">2.3 Correção monetária, juros e demais parâmetros</w:t>
      </w:r>
    </w:p>
    <w:p>
      <w:pPr>
        <w:ind w:left="360"/>
        <w:spacing w:after="80"/>
      </w:pPr>
      <w:r>
        <w:rPr>
          <w:sz w:val="19"/>
          <w:szCs w:val="19"/>
          <w:rFonts w:ascii="Calibri" w:hAnsi="Calibri"/>
        </w:rPr>
        <w:t xml:space="preserve">•  Correção e juros: na forma da ADC 58 — pré-judicial: IPCA-E — judicial: SELIC (fl. 418)</w:t>
      </w:r>
    </w:p>
    <w:p>
      <w:pPr>
        <w:ind w:left="360"/>
        <w:spacing w:after="80"/>
      </w:pPr>
      <w:r>
        <w:rPr>
          <w:sz w:val="19"/>
          <w:szCs w:val="19"/>
          <w:rFonts w:ascii="Calibri" w:hAnsi="Calibri"/>
        </w:rPr>
        <w:t xml:space="preserve">•  Limitação aos valores da inicial: limitados aos valores da inicial (fl. 418)</w:t>
      </w:r>
    </w:p>
    <w:p>
      <w:pPr>
        <w:ind w:left="360"/>
        <w:spacing w:after="80"/>
      </w:pPr>
      <w:r>
        <w:rPr>
          <w:sz w:val="19"/>
          <w:szCs w:val="19"/>
          <w:rFonts w:ascii="Calibri" w:hAnsi="Calibri"/>
        </w:rPr>
        <w:t xml:space="preserve">•  Dedução de valores pagos: dedução global por título (fl. 417)</w:t>
      </w:r>
    </w:p>
    <w:p>
      <w:pPr>
        <w:ind w:left="360"/>
        <w:spacing w:after="80"/>
      </w:pPr>
      <w:r>
        <w:rPr>
          <w:sz w:val="19"/>
          <w:szCs w:val="19"/>
          <w:rFonts w:ascii="Calibri" w:hAnsi="Calibri"/>
        </w:rPr>
        <w:t xml:space="preserve">•  Honorários sucumbenciais: 5% sobre valor da condenação (Acórdão, fl. 640)</w:t>
      </w:r>
    </w:p>
    <w:p>
      <w:pPr>
        <w:ind w:left="360"/>
        <w:spacing w:after="80"/>
      </w:pPr>
      <w:r>
        <w:rPr>
          <w:sz w:val="19"/>
          <w:szCs w:val="19"/>
          <w:rFonts w:ascii="Calibri" w:hAnsi="Calibri"/>
        </w:rPr>
        <w:t xml:space="preserve">•  Jornada fixada: 06h às 20h, com 1h de intervalo (Sentença, fl. 412)</w:t>
      </w:r>
    </w:p>
    <w:p>
      <w:pPr>
        <w:spacing w:after="120" w:before="240"/>
      </w:pPr>
      <w:r>
        <w:rPr>
          <w:b/>
          <w:color w:val="16213E"/>
          <w:sz w:val="28"/>
          <w:szCs w:val="28"/>
          <w:rFonts w:ascii="Calibri" w:hAnsi="Calibri"/>
        </w:rPr>
        <w:t xml:space="preserve">3. Impugnação ao cálculo apresentado</w:t>
      </w:r>
    </w:p>
    <w:p>
      <w:pPr>
        <w:jc w:val="both"/>
        <w:spacing w:after="120"/>
      </w:pPr>
      <w:r>
        <w:rPr>
          <w:sz w:val="19"/>
          <w:szCs w:val="19"/>
          <w:rFonts w:ascii="Calibri" w:hAnsi="Calibri"/>
        </w:rPr>
        <w:t xml:space="preserve">O cálculo desborda dos limites do julgado.</w:t>
      </w:r>
    </w:p>
    <w:p>
      <w:pPr>
        <w:spacing w:after="120" w:before="240"/>
      </w:pPr>
      <w:r>
        <w:rPr>
          <w:b/>
          <w:color w:val="16213E"/>
          <w:sz w:val="24"/>
          <w:szCs w:val="24"/>
          <w:rFonts w:ascii="Calibri" w:hAnsi="Calibri"/>
        </w:rPr>
        <w:t xml:space="preserve">3.1. Apuração de verba não deferida — Adicional de periculosidade</w:t>
      </w:r>
    </w:p>
    <w:p>
      <w:pPr>
        <w:jc w:val="both"/>
        <w:spacing w:after="120"/>
      </w:pPr>
      <w:r>
        <w:rPr>
          <w:sz w:val="19"/>
          <w:szCs w:val="19"/>
          <w:rFonts w:ascii="Calibri" w:hAnsi="Calibri"/>
        </w:rPr>
        <w:t xml:space="preserve">Equivocou-se o Autor ao incluir em seu cálculo a rubrica "Adicional de periculosidade", verba que não integra o título executivo judicial.</w:t>
      </w:r>
    </w:p>
    <w:p>
      <w:pPr>
        <w:jc w:val="both"/>
        <w:spacing w:after="120"/>
      </w:pPr>
      <w:r>
        <w:rPr>
          <w:sz w:val="19"/>
          <w:szCs w:val="19"/>
          <w:rFonts w:ascii="Calibri" w:hAnsi="Calibri"/>
        </w:rPr>
        <w:t xml:space="preserve">Com efeito, a verba "Adicional de periculosidade" foi EXPRESSAMENTE EXCLUÍDA (Acórdão, fl. 638), nos seguintes termos: "dou provimento para excluir".</w:t>
      </w:r>
    </w:p>
    <w:p>
      <w:pPr>
        <w:jc w:val="both"/>
        <w:spacing w:after="120"/>
      </w:pPr>
      <w:r>
        <w:rPr>
          <w:sz w:val="19"/>
          <w:szCs w:val="19"/>
          <w:rFonts w:ascii="Calibri" w:hAnsi="Calibri"/>
        </w:rPr>
        <w:t xml:space="preserve">Ainda assim, o cálculo apresentado apurou a rubrica "Adicional de periculosidade", no valor de R$ 22100. Vejamos: o demonstrativo do Autor traz a referida verba, sem qualquer respaldo no comando exequendo.</w:t>
      </w:r>
    </w:p>
    <w:p>
      <w:pPr>
        <w:jc w:val="both"/>
        <w:spacing w:after="120"/>
      </w:pPr>
      <w:r>
        <w:rPr>
          <w:sz w:val="19"/>
          <w:szCs w:val="19"/>
          <w:rFonts w:ascii="Calibri" w:hAnsi="Calibri"/>
        </w:rPr>
        <w:t xml:space="preserve">A liquidação de sentença, nos termos do art. 879, §1º, da CLT, não pode modificar ou inovar a coisa julgada, sendo defeso incluir na conta verba que a decisão transitada em julgado afastou. Trata-se, no caso, de excesso de execução.</w:t>
      </w:r>
    </w:p>
    <w:p>
      <w:pPr>
        <w:jc w:val="both"/>
        <w:spacing w:after="60"/>
      </w:pPr>
      <w:r>
        <w:rPr>
          <w:sz w:val="19"/>
          <w:szCs w:val="19"/>
          <w:rFonts w:ascii="Calibri" w:hAnsi="Calibri"/>
        </w:rPr>
        <w:t xml:space="preserve">Transcreve-se o dispositivo invocado:</w:t>
      </w:r>
    </w:p>
    <w:p>
      <w:pPr>
        <w:ind w:left="720"/>
        <w:spacing w:after="40"/>
      </w:pPr>
      <w:r>
        <w:rPr>
          <w:b/>
          <w:color w:val="16213E"/>
          <w:sz w:val="18"/>
          <w:szCs w:val="18"/>
          <w:rFonts w:ascii="Calibri" w:hAnsi="Calibri"/>
        </w:rPr>
        <w:t xml:space="preserve">Art. 879, § 1º, da CLT:</w:t>
      </w:r>
    </w:p>
    <w:p>
      <w:pPr>
        <w:jc w:val="both"/>
        <w:ind w:left="720"/>
        <w:spacing w:after="140"/>
      </w:pPr>
      <w:r>
        <w:rPr>
          <w:i/>
          <w:sz w:val="18"/>
          <w:szCs w:val="18"/>
          <w:rFonts w:ascii="Calibri" w:hAnsi="Calibri"/>
        </w:rPr>
        <w:t xml:space="preserve">“Na liquidação, não se poderá modificar, ou inovar, a sentença liquidanda nem discutir matéria pertinente à causa principal.”</w:t>
      </w:r>
    </w:p>
    <w:p>
      <w:pPr>
        <w:jc w:val="both"/>
        <w:spacing w:after="120"/>
      </w:pPr>
      <w:r>
        <w:rPr>
          <w:b/>
          <w:sz w:val="19"/>
          <w:szCs w:val="19"/>
          <w:rFonts w:ascii="Calibri" w:hAnsi="Calibri"/>
        </w:rPr>
        <w:t xml:space="preserve">Impõe-se, portanto, a exclusão integral da rubrica "Adicional de periculosidade" da conta de liquidação. Resta impugnado o cálculo obreiro neste ponto.</w:t>
      </w:r>
    </w:p>
    <w:p>
      <w:pPr>
        <w:spacing w:after="200"/>
      </w:pPr>
      <w:r>
        <w:rPr>
          <w:i/>
          <w:color w:val="5A6472"/>
          <w:sz w:val="17"/>
          <w:szCs w:val="17"/>
          <w:rFonts w:ascii="Calibri" w:hAnsi="Calibri"/>
        </w:rPr>
        <w:t xml:space="preserve">Fundamento legal: Art. 879, § 1º, da CLT</w:t>
      </w:r>
    </w:p>
    <w:p>
      <w:pPr>
        <w:spacing w:after="120" w:before="240"/>
      </w:pPr>
      <w:r>
        <w:rPr>
          <w:b/>
          <w:color w:val="16213E"/>
          <w:sz w:val="24"/>
          <w:szCs w:val="24"/>
          <w:rFonts w:ascii="Calibri" w:hAnsi="Calibri"/>
        </w:rPr>
        <w:t xml:space="preserve">3.2. Intervalo apurado com natureza diversa da deferida (intrajornada × interjornada)</w:t>
      </w:r>
    </w:p>
    <w:p>
      <w:pPr>
        <w:jc w:val="both"/>
        <w:spacing w:after="120"/>
      </w:pPr>
      <w:r>
        <w:rPr>
          <w:sz w:val="19"/>
          <w:szCs w:val="19"/>
          <w:rFonts w:ascii="Calibri" w:hAnsi="Calibri"/>
        </w:rPr>
        <w:t xml:space="preserve">Equivocou-se o Autor ao apurar, sob a rubrica "INTERVALO INTERJORNADAS", o intervalo interjornada (art. 66 da CLT), quando o que se deferiu foi o intervalo intrajornada (art. 71, §4º, da CLT).</w:t>
      </w:r>
    </w:p>
    <w:p>
      <w:pPr>
        <w:jc w:val="both"/>
        <w:spacing w:after="120"/>
      </w:pPr>
      <w:r>
        <w:rPr>
          <w:sz w:val="19"/>
          <w:szCs w:val="19"/>
          <w:rFonts w:ascii="Calibri" w:hAnsi="Calibri"/>
        </w:rPr>
        <w:t xml:space="preserve">A decisão deferiu, de forma expressa, o intervalo intrajornada (art. 71, §4º, da CLT) (Sentença, fl. 414): "defiro 1 hora diária pela supressão do intervalo intrajornada".</w:t>
      </w:r>
    </w:p>
    <w:p>
      <w:pPr>
        <w:jc w:val="both"/>
        <w:spacing w:after="120"/>
      </w:pPr>
      <w:r>
        <w:rPr>
          <w:sz w:val="19"/>
          <w:szCs w:val="19"/>
          <w:rFonts w:ascii="Calibri" w:hAnsi="Calibri"/>
        </w:rPr>
        <w:t xml:space="preserve">Vejamos: são institutos distintos, com fato gerador e apuração próprios. O intervalo INTRAJORNADA, do art. 71, §4º, da CLT, é o período de 1 (uma) hora destinado a repouso e alimentação DENTRO da jornada, e sua supressão gera o pagamento do período suprimido. Já o intervalo INTERJORNADA, do art. 66 da CLT, é o descanso mínimo de 11 (onze) horas ENTRE o término de uma jornada e o início da seguinte — que se somam às 24 (vinte e quatro) horas do repouso semanal, perfazendo 35 (trinta e cinco) horas —, e sua supressão é remunerada como hora extra na forma da OJ 355 da SDI-1 do TST. Não se confundem nem na natureza, nem na quantidade de horas, nem na base de apuração.</w:t>
      </w:r>
    </w:p>
    <w:p>
      <w:pPr>
        <w:jc w:val="both"/>
        <w:spacing w:after="120"/>
      </w:pPr>
      <w:r>
        <w:rPr>
          <w:sz w:val="19"/>
          <w:szCs w:val="19"/>
          <w:rFonts w:ascii="Calibri" w:hAnsi="Calibri"/>
        </w:rPr>
        <w:t xml:space="preserve">Ao apurar instituto diverso do deferido, o cálculo altera o título executivo, em afronta ao art. 879, §1º, da CLT.</w:t>
      </w:r>
    </w:p>
    <w:p>
      <w:pPr>
        <w:jc w:val="both"/>
        <w:spacing w:after="60"/>
      </w:pPr>
      <w:r>
        <w:rPr>
          <w:sz w:val="19"/>
          <w:szCs w:val="19"/>
          <w:rFonts w:ascii="Calibri" w:hAnsi="Calibri"/>
        </w:rPr>
        <w:t xml:space="preserve">Transcreve-se o dispositivo invocado:</w:t>
      </w:r>
    </w:p>
    <w:p>
      <w:pPr>
        <w:ind w:left="720"/>
        <w:spacing w:after="40"/>
      </w:pPr>
      <w:r>
        <w:rPr>
          <w:b/>
          <w:color w:val="16213E"/>
          <w:sz w:val="18"/>
          <w:szCs w:val="18"/>
          <w:rFonts w:ascii="Calibri" w:hAnsi="Calibri"/>
        </w:rPr>
        <w:t xml:space="preserve">Art. 71, § 4º, da CLT (redação da Lei 13.467/2017):</w:t>
      </w:r>
    </w:p>
    <w:p>
      <w:pPr>
        <w:jc w:val="both"/>
        <w:ind w:left="720"/>
        <w:spacing w:after="40"/>
      </w:pPr>
      <w:r>
        <w:rPr>
          <w:i/>
          <w:sz w:val="18"/>
          <w:szCs w:val="18"/>
          <w:rFonts w:ascii="Calibri" w:hAnsi="Calibri"/>
        </w:rPr>
        <w:t xml:space="preserve">“A não concessão ou a concessão parcial do intervalo intrajornada mínimo, para repouso e alimentação, a empregados urbanos e rurais, implica o pagamento, de natureza indenizatória, apenas do período suprimido, com acréscimo de 50% (cinquenta por cento) sobre o valor da remuneração da hora normal de trabalho.”</w:t>
      </w:r>
    </w:p>
    <w:p>
      <w:pPr>
        <w:ind w:left="720"/>
        <w:spacing w:after="140"/>
      </w:pPr>
      <w:r>
        <w:rPr>
          <w:i/>
          <w:color w:val="8A5A00"/>
          <w:sz w:val="16"/>
          <w:szCs w:val="16"/>
          <w:rFonts w:ascii="Calibri" w:hAnsi="Calibri"/>
        </w:rPr>
        <w:t xml:space="preserve">(Para contratos e períodos anteriores a 11/11/2017 aplica-se a redação anterior e a Súmula 437, I, do TST (pagamento do período integral, com natureza salarial).)</w:t>
      </w:r>
    </w:p>
    <w:p>
      <w:pPr>
        <w:ind w:left="720"/>
        <w:spacing w:after="40"/>
      </w:pPr>
      <w:r>
        <w:rPr>
          <w:b/>
          <w:color w:val="16213E"/>
          <w:sz w:val="18"/>
          <w:szCs w:val="18"/>
          <w:rFonts w:ascii="Calibri" w:hAnsi="Calibri"/>
        </w:rPr>
        <w:t xml:space="preserve">Súmula 437, I e III, do TST:</w:t>
      </w:r>
    </w:p>
    <w:p>
      <w:pPr>
        <w:jc w:val="both"/>
        <w:ind w:left="720"/>
        <w:spacing w:after="40"/>
      </w:pPr>
      <w:r>
        <w:rPr>
          <w:i/>
          <w:sz w:val="18"/>
          <w:szCs w:val="18"/>
          <w:rFonts w:ascii="Calibri" w:hAnsi="Calibri"/>
        </w:rPr>
        <w:t xml:space="preserve">“I - Após a edição da Lei nº 8.923/94, a não-concessão ou a concessão parcial do intervalo intrajornada mínimo, para repouso e alimentação, a empregados urbanos e rurais, implica o pagamento total do período correspondente, e não apenas daquele suprimido, com acréscimo de, no mínimo, 50% sobre o valor da remuneração da hora normal de trabalho, sem prejuízo do cômputo da efetiva jornada de labor para efeito de remuneração. III - Possui natureza salarial a parcela prevista no art. 71, § 4º, da CLT, repercutindo, assim, no cálculo de outras parcelas salariais.”</w:t>
      </w:r>
    </w:p>
    <w:p>
      <w:pPr>
        <w:ind w:left="720"/>
        <w:spacing w:after="140"/>
      </w:pPr>
      <w:r>
        <w:rPr>
          <w:i/>
          <w:color w:val="8A5A00"/>
          <w:sz w:val="16"/>
          <w:szCs w:val="16"/>
          <w:rFonts w:ascii="Calibri" w:hAnsi="Calibri"/>
        </w:rPr>
        <w:t xml:space="preserve">(Aplicável aos períodos anteriores à Lei 13.467/2017. A partir de 11/11/2017 prevalece a nova redação do art. 71, § 4º, da CLT.)</w:t>
      </w:r>
    </w:p>
    <w:p>
      <w:pPr>
        <w:ind w:left="720"/>
        <w:spacing w:after="40"/>
      </w:pPr>
      <w:r>
        <w:rPr>
          <w:b/>
          <w:color w:val="16213E"/>
          <w:sz w:val="18"/>
          <w:szCs w:val="18"/>
          <w:rFonts w:ascii="Calibri" w:hAnsi="Calibri"/>
        </w:rPr>
        <w:t xml:space="preserve">Art. 879, § 1º, da CLT:</w:t>
      </w:r>
    </w:p>
    <w:p>
      <w:pPr>
        <w:jc w:val="both"/>
        <w:ind w:left="720"/>
        <w:spacing w:after="140"/>
      </w:pPr>
      <w:r>
        <w:rPr>
          <w:i/>
          <w:sz w:val="18"/>
          <w:szCs w:val="18"/>
          <w:rFonts w:ascii="Calibri" w:hAnsi="Calibri"/>
        </w:rPr>
        <w:t xml:space="preserve">“Na liquidação, não se poderá modificar, ou inovar, a sentença liquidanda nem discutir matéria pertinente à causa principal.”</w:t>
      </w:r>
    </w:p>
    <w:p>
      <w:pPr>
        <w:jc w:val="both"/>
        <w:spacing w:after="120"/>
      </w:pPr>
      <w:r>
        <w:rPr>
          <w:b/>
          <w:sz w:val="19"/>
          <w:szCs w:val="19"/>
          <w:rFonts w:ascii="Calibri" w:hAnsi="Calibri"/>
        </w:rPr>
        <w:t xml:space="preserve">Impõe-se a retificação da conta, para que a apuração observe estritamente o intervalo efetivamente deferido. Resta impugnado o cálculo obreiro.</w:t>
      </w:r>
    </w:p>
    <w:p>
      <w:pPr>
        <w:spacing w:after="200"/>
      </w:pPr>
      <w:r>
        <w:rPr>
          <w:i/>
          <w:color w:val="5A6472"/>
          <w:sz w:val="17"/>
          <w:szCs w:val="17"/>
          <w:rFonts w:ascii="Calibri" w:hAnsi="Calibri"/>
        </w:rPr>
        <w:t xml:space="preserve">Fundamento legal: Art. 71, § 4º, da CLT (redação da Lei 13.467/2017); Súmula 437, I e III, do TST; Art. 879, § 1º, da CLT</w:t>
      </w:r>
    </w:p>
    <w:p>
      <w:pPr>
        <w:spacing w:after="120" w:before="240"/>
      </w:pPr>
      <w:r>
        <w:rPr>
          <w:b/>
          <w:color w:val="16213E"/>
          <w:sz w:val="24"/>
          <w:szCs w:val="24"/>
          <w:rFonts w:ascii="Calibri" w:hAnsi="Calibri"/>
        </w:rPr>
        <w:t xml:space="preserve">3.3. Índice de correção monetária — TR/TRD aplicada na fase pré-judicial</w:t>
      </w:r>
    </w:p>
    <w:p>
      <w:pPr>
        <w:jc w:val="both"/>
        <w:spacing w:after="120"/>
      </w:pPr>
      <w:r>
        <w:rPr>
          <w:sz w:val="19"/>
          <w:szCs w:val="19"/>
          <w:rFonts w:ascii="Calibri" w:hAnsi="Calibri"/>
        </w:rPr>
        <w:t xml:space="preserve">Equivocou-se o Autor ao atualizar os créditos da fase pré-judicial pela TR/TRD, quando a decisão determinou expressamente a aplicação do IPCA-E nesse período.</w:t>
      </w:r>
    </w:p>
    <w:p>
      <w:pPr>
        <w:jc w:val="both"/>
        <w:spacing w:after="120"/>
      </w:pPr>
      <w:r>
        <w:rPr>
          <w:sz w:val="19"/>
          <w:szCs w:val="19"/>
          <w:rFonts w:ascii="Calibri" w:hAnsi="Calibri"/>
        </w:rPr>
        <w:t xml:space="preserve">A decisão fixou, de forma expressa, o critério de atualização (fl. 418): "na forma da ADC 58".</w:t>
      </w:r>
    </w:p>
    <w:p>
      <w:pPr>
        <w:jc w:val="both"/>
        <w:spacing w:after="120"/>
      </w:pPr>
      <w:r>
        <w:rPr>
          <w:sz w:val="19"/>
          <w:szCs w:val="19"/>
          <w:rFonts w:ascii="Calibri" w:hAnsi="Calibri"/>
        </w:rPr>
        <w:t xml:space="preserve">Vejamos: o demonstrativo do Autor registra "TR + juros 1% a.m." para o período anterior ao ajuizamento. O Supremo Tribunal Federal, no julgamento das ADCs 58 e 59, declarou a inconstitucionalidade da TR como índice de correção dos créditos trabalhistas, fixando o IPCA-E na fase pré-judicial, acrescido dos juros do art. 39 da Lei 8.177/91, e a taxa SELIC a partir do ajuizamento.</w:t>
      </w:r>
    </w:p>
    <w:p>
      <w:pPr>
        <w:jc w:val="both"/>
        <w:spacing w:after="120"/>
      </w:pPr>
      <w:r>
        <w:rPr>
          <w:sz w:val="19"/>
          <w:szCs w:val="19"/>
          <w:rFonts w:ascii="Calibri" w:hAnsi="Calibri"/>
        </w:rPr>
        <w:t xml:space="preserve">A adoção de índice diverso do fixado na decisão, além de contrariar a tese vinculante do STF, altera a coisa julgada, o que é vedado pelo art. 879, §1º, da CLT.</w:t>
      </w:r>
    </w:p>
    <w:p>
      <w:pPr>
        <w:jc w:val="both"/>
        <w:spacing w:after="60"/>
      </w:pPr>
      <w:r>
        <w:rPr>
          <w:sz w:val="19"/>
          <w:szCs w:val="19"/>
          <w:rFonts w:ascii="Calibri" w:hAnsi="Calibri"/>
        </w:rPr>
        <w:t xml:space="preserve">Transcreve-se o dispositivo invocado:</w:t>
      </w:r>
    </w:p>
    <w:p>
      <w:pPr>
        <w:ind w:left="720"/>
        <w:spacing w:after="40"/>
      </w:pPr>
      <w:r>
        <w:rPr>
          <w:b/>
          <w:color w:val="16213E"/>
          <w:sz w:val="18"/>
          <w:szCs w:val="18"/>
          <w:rFonts w:ascii="Calibri" w:hAnsi="Calibri"/>
        </w:rPr>
        <w:t xml:space="preserve">Tese firmada pelo STF nas ADCs 58 e 59:</w:t>
      </w:r>
    </w:p>
    <w:p>
      <w:pPr>
        <w:jc w:val="both"/>
        <w:ind w:left="720"/>
        <w:spacing w:after="40"/>
      </w:pPr>
      <w:r>
        <w:rPr>
          <w:i/>
          <w:sz w:val="18"/>
          <w:szCs w:val="18"/>
          <w:rFonts w:ascii="Calibri" w:hAnsi="Calibri"/>
        </w:rPr>
        <w:t xml:space="preserve">“À atualização dos créditos decorrentes de condenação judicial na Justiça do Trabalho deverão ser aplicados, até que sobrevenha solução legislativa, os mesmos índices de correção monetária e de juros vigentes para as condenações cíveis em geral: na fase pré-judicial, o IPCA-E acrescido dos juros do art. 39, caput, da Lei 8.177/91; e, a partir do ajuizamento da ação, a taxa SELIC, que já engloba correção monetária e juros de mora.”</w:t>
      </w:r>
    </w:p>
    <w:p>
      <w:pPr>
        <w:ind w:left="720"/>
        <w:spacing w:after="140"/>
      </w:pPr>
      <w:r>
        <w:rPr>
          <w:i/>
          <w:color w:val="8A5A00"/>
          <w:sz w:val="16"/>
          <w:szCs w:val="16"/>
          <w:rFonts w:ascii="Calibri" w:hAnsi="Calibri"/>
        </w:rPr>
        <w:t xml:space="preserve">(Síntese da tese para uso em peça. Conferir a ementa oficial quando a transcrição integral for exigida.)</w:t>
      </w:r>
    </w:p>
    <w:p>
      <w:pPr>
        <w:ind w:left="720"/>
        <w:spacing w:after="40"/>
      </w:pPr>
      <w:r>
        <w:rPr>
          <w:b/>
          <w:color w:val="16213E"/>
          <w:sz w:val="18"/>
          <w:szCs w:val="18"/>
          <w:rFonts w:ascii="Calibri" w:hAnsi="Calibri"/>
        </w:rPr>
        <w:t xml:space="preserve">Art. 39, caput, da Lei 8.177/91:</w:t>
      </w:r>
    </w:p>
    <w:p>
      <w:pPr>
        <w:jc w:val="both"/>
        <w:ind w:left="720"/>
        <w:spacing w:after="140"/>
      </w:pPr>
      <w:r>
        <w:rPr>
          <w:i/>
          <w:sz w:val="18"/>
          <w:szCs w:val="18"/>
          <w:rFonts w:ascii="Calibri" w:hAnsi="Calibri"/>
        </w:rPr>
        <w:t xml:space="preserve">“Os débitos trabalhistas de qualquer natureza, quando não satisfeitos pelo empregador nas épocas próprias assim definidas em lei, acordo ou convenção coletiva, sentença normativa ou cláusula contratual sofrerão juros de mora equivalentes à TRD acumulada no período compreendido entre a data de vencimento da obrigação e o seu efetivo pagamento.”</w:t>
      </w:r>
    </w:p>
    <w:p>
      <w:pPr>
        <w:ind w:left="720"/>
        <w:spacing w:after="40"/>
      </w:pPr>
      <w:r>
        <w:rPr>
          <w:b/>
          <w:color w:val="16213E"/>
          <w:sz w:val="18"/>
          <w:szCs w:val="18"/>
          <w:rFonts w:ascii="Calibri" w:hAnsi="Calibri"/>
        </w:rPr>
        <w:t xml:space="preserve">Art. 879, § 1º, da CLT:</w:t>
      </w:r>
    </w:p>
    <w:p>
      <w:pPr>
        <w:jc w:val="both"/>
        <w:ind w:left="720"/>
        <w:spacing w:after="140"/>
      </w:pPr>
      <w:r>
        <w:rPr>
          <w:i/>
          <w:sz w:val="18"/>
          <w:szCs w:val="18"/>
          <w:rFonts w:ascii="Calibri" w:hAnsi="Calibri"/>
        </w:rPr>
        <w:t xml:space="preserve">“Na liquidação, não se poderá modificar, ou inovar, a sentença liquidanda nem discutir matéria pertinente à causa principal.”</w:t>
      </w:r>
    </w:p>
    <w:p>
      <w:pPr>
        <w:jc w:val="both"/>
        <w:spacing w:after="120"/>
      </w:pPr>
      <w:r>
        <w:rPr>
          <w:b/>
          <w:sz w:val="19"/>
          <w:szCs w:val="19"/>
          <w:rFonts w:ascii="Calibri" w:hAnsi="Calibri"/>
        </w:rPr>
        <w:t xml:space="preserve">Deve a conta ser retificada para que a fase pré-judicial seja atualizada pelo IPCA-E, na forma do julgado. Resta impugnado o cálculo obreiro.</w:t>
      </w:r>
    </w:p>
    <w:p>
      <w:pPr>
        <w:spacing w:after="200"/>
      </w:pPr>
      <w:r>
        <w:rPr>
          <w:i/>
          <w:color w:val="5A6472"/>
          <w:sz w:val="17"/>
          <w:szCs w:val="17"/>
          <w:rFonts w:ascii="Calibri" w:hAnsi="Calibri"/>
        </w:rPr>
        <w:t xml:space="preserve">Fundamento legal: Tese firmada pelo STF nas ADCs 58 e 59; Art. 39, caput, da Lei 8.177/91; Art. 879, § 1º, da CLT</w:t>
      </w:r>
    </w:p>
    <w:p>
      <w:pPr>
        <w:spacing w:after="120" w:before="240"/>
      </w:pPr>
      <w:r>
        <w:rPr>
          <w:b/>
          <w:color w:val="16213E"/>
          <w:sz w:val="24"/>
          <w:szCs w:val="24"/>
          <w:rFonts w:ascii="Calibri" w:hAnsi="Calibri"/>
        </w:rPr>
        <w:t xml:space="preserve">3.4. Cumulação indevida de juros de mora de 1% ao mês com a taxa SELIC</w:t>
      </w:r>
    </w:p>
    <w:p>
      <w:pPr>
        <w:jc w:val="both"/>
        <w:spacing w:after="120"/>
      </w:pPr>
      <w:r>
        <w:rPr>
          <w:sz w:val="19"/>
          <w:szCs w:val="19"/>
          <w:rFonts w:ascii="Calibri" w:hAnsi="Calibri"/>
        </w:rPr>
        <w:t xml:space="preserve">Equivocou-se o Autor ao acrescer juros de mora de 1% ao mês sobre créditos já atualizados pela taxa SELIC.</w:t>
      </w:r>
    </w:p>
    <w:p>
      <w:pPr>
        <w:jc w:val="both"/>
        <w:spacing w:after="120"/>
      </w:pPr>
      <w:r>
        <w:rPr>
          <w:sz w:val="19"/>
          <w:szCs w:val="19"/>
          <w:rFonts w:ascii="Calibri" w:hAnsi="Calibri"/>
        </w:rPr>
        <w:t xml:space="preserve">A decisão determinou a incidência da SELIC a partir do ajuizamento (fl. 418).</w:t>
      </w:r>
    </w:p>
    <w:p>
      <w:pPr>
        <w:jc w:val="both"/>
        <w:spacing w:after="120"/>
      </w:pPr>
      <w:r>
        <w:rPr>
          <w:sz w:val="19"/>
          <w:szCs w:val="19"/>
          <w:rFonts w:ascii="Calibri" w:hAnsi="Calibri"/>
        </w:rPr>
        <w:t xml:space="preserve">Vejamos: o demonstrativo registra "1% ao mês cumulado com SELIC". Ocorre que a taxa SELIC, por definição, já engloba correção monetária E juros de mora, conforme expressamente assentado pelo STF no julgamento da ADC 58. A cumulação da SELIC com juros de 1% ao mês configura bis in idem e enriquecimento sem causa.</w:t>
      </w:r>
    </w:p>
    <w:p>
      <w:pPr>
        <w:jc w:val="both"/>
        <w:spacing w:after="60"/>
      </w:pPr>
      <w:r>
        <w:rPr>
          <w:sz w:val="19"/>
          <w:szCs w:val="19"/>
          <w:rFonts w:ascii="Calibri" w:hAnsi="Calibri"/>
        </w:rPr>
        <w:t xml:space="preserve">Transcreve-se o dispositivo invocado:</w:t>
      </w:r>
    </w:p>
    <w:p>
      <w:pPr>
        <w:ind w:left="720"/>
        <w:spacing w:after="40"/>
      </w:pPr>
      <w:r>
        <w:rPr>
          <w:b/>
          <w:color w:val="16213E"/>
          <w:sz w:val="18"/>
          <w:szCs w:val="18"/>
          <w:rFonts w:ascii="Calibri" w:hAnsi="Calibri"/>
        </w:rPr>
        <w:t xml:space="preserve">Tese firmada pelo STF nas ADCs 58 e 59:</w:t>
      </w:r>
    </w:p>
    <w:p>
      <w:pPr>
        <w:jc w:val="both"/>
        <w:ind w:left="720"/>
        <w:spacing w:after="40"/>
      </w:pPr>
      <w:r>
        <w:rPr>
          <w:i/>
          <w:sz w:val="18"/>
          <w:szCs w:val="18"/>
          <w:rFonts w:ascii="Calibri" w:hAnsi="Calibri"/>
        </w:rPr>
        <w:t xml:space="preserve">“À atualização dos créditos decorrentes de condenação judicial na Justiça do Trabalho deverão ser aplicados, até que sobrevenha solução legislativa, os mesmos índices de correção monetária e de juros vigentes para as condenações cíveis em geral: na fase pré-judicial, o IPCA-E acrescido dos juros do art. 39, caput, da Lei 8.177/91; e, a partir do ajuizamento da ação, a taxa SELIC, que já engloba correção monetária e juros de mora.”</w:t>
      </w:r>
    </w:p>
    <w:p>
      <w:pPr>
        <w:ind w:left="720"/>
        <w:spacing w:after="140"/>
      </w:pPr>
      <w:r>
        <w:rPr>
          <w:i/>
          <w:color w:val="8A5A00"/>
          <w:sz w:val="16"/>
          <w:szCs w:val="16"/>
          <w:rFonts w:ascii="Calibri" w:hAnsi="Calibri"/>
        </w:rPr>
        <w:t xml:space="preserve">(Síntese da tese para uso em peça. Conferir a ementa oficial quando a transcrição integral for exigida.)</w:t>
      </w:r>
    </w:p>
    <w:p>
      <w:pPr>
        <w:ind w:left="720"/>
        <w:spacing w:after="40"/>
      </w:pPr>
      <w:r>
        <w:rPr>
          <w:b/>
          <w:color w:val="16213E"/>
          <w:sz w:val="18"/>
          <w:szCs w:val="18"/>
          <w:rFonts w:ascii="Calibri" w:hAnsi="Calibri"/>
        </w:rPr>
        <w:t xml:space="preserve">Art. 406 do Código Civil:</w:t>
      </w:r>
    </w:p>
    <w:p>
      <w:pPr>
        <w:jc w:val="both"/>
        <w:ind w:left="720"/>
        <w:spacing w:after="40"/>
      </w:pPr>
      <w:r>
        <w:rPr>
          <w:i/>
          <w:sz w:val="18"/>
          <w:szCs w:val="18"/>
          <w:rFonts w:ascii="Calibri" w:hAnsi="Calibri"/>
        </w:rPr>
        <w:t xml:space="preserve">“Quando os juros moratórios não forem convencionados, ou o forem sem taxa estipulada, ou quando provierem de determinação da lei, serão fixados de acordo com a taxa que estiver em vigor para a mora do pagamento de impostos devidos à Fazenda Nacional.”</w:t>
      </w:r>
    </w:p>
    <w:p>
      <w:pPr>
        <w:ind w:left="720"/>
        <w:spacing w:after="140"/>
      </w:pPr>
      <w:r>
        <w:rPr>
          <w:i/>
          <w:color w:val="8A5A00"/>
          <w:sz w:val="16"/>
          <w:szCs w:val="16"/>
          <w:rFonts w:ascii="Calibri" w:hAnsi="Calibri"/>
        </w:rPr>
        <w:t xml:space="preserve">(Redação anterior à Lei 14.905/2024. Para fatos posteriores, conferir a nova redação (SELIC deduzido o IPCA).)</w:t>
      </w:r>
    </w:p>
    <w:p>
      <w:pPr>
        <w:jc w:val="both"/>
        <w:spacing w:after="120"/>
      </w:pPr>
      <w:r>
        <w:rPr>
          <w:b/>
          <w:sz w:val="19"/>
          <w:szCs w:val="19"/>
          <w:rFonts w:ascii="Calibri" w:hAnsi="Calibri"/>
        </w:rPr>
        <w:t xml:space="preserve">Impõe-se a retificação da conta para excluir os juros de mora cumulados à SELIC no período judicial. Resta impugnado o cálculo obreiro.</w:t>
      </w:r>
    </w:p>
    <w:p>
      <w:pPr>
        <w:spacing w:after="200"/>
      </w:pPr>
      <w:r>
        <w:rPr>
          <w:i/>
          <w:color w:val="5A6472"/>
          <w:sz w:val="17"/>
          <w:szCs w:val="17"/>
          <w:rFonts w:ascii="Calibri" w:hAnsi="Calibri"/>
        </w:rPr>
        <w:t xml:space="preserve">Fundamento legal: Tese firmada pelo STF nas ADCs 58 e 59; Art. 406 do Código Civil</w:t>
      </w:r>
    </w:p>
    <w:p>
      <w:pPr>
        <w:spacing w:after="120" w:before="240"/>
      </w:pPr>
      <w:r>
        <w:rPr>
          <w:b/>
          <w:color w:val="16213E"/>
          <w:sz w:val="24"/>
          <w:szCs w:val="24"/>
          <w:rFonts w:ascii="Calibri" w:hAnsi="Calibri"/>
        </w:rPr>
        <w:t xml:space="preserve">3.5. Ausência de dedução dos valores comprovadamente pagos</w:t>
      </w:r>
    </w:p>
    <w:p>
      <w:pPr>
        <w:jc w:val="both"/>
        <w:spacing w:after="120"/>
      </w:pPr>
      <w:r>
        <w:rPr>
          <w:sz w:val="19"/>
          <w:szCs w:val="19"/>
          <w:rFonts w:ascii="Calibri" w:hAnsi="Calibri"/>
        </w:rPr>
        <w:t xml:space="preserve">Equivocou-se o Autor ao apurar as verbas deferidas pelo valor integral, sem proceder a qualquer dedução dos valores já quitados sob o mesmo título.</w:t>
      </w:r>
    </w:p>
    <w:p>
      <w:pPr>
        <w:jc w:val="both"/>
        <w:spacing w:after="120"/>
      </w:pPr>
      <w:r>
        <w:rPr>
          <w:sz w:val="19"/>
          <w:szCs w:val="19"/>
          <w:rFonts w:ascii="Calibri" w:hAnsi="Calibri"/>
        </w:rPr>
        <w:t xml:space="preserve">A decisão autorizou expressamente a dedução dos valores pagos (fl. 417), nos seguintes termos: "dedução global por título".</w:t>
      </w:r>
    </w:p>
    <w:p>
      <w:pPr>
        <w:jc w:val="both"/>
        <w:spacing w:after="120"/>
      </w:pPr>
      <w:r>
        <w:rPr>
          <w:sz w:val="19"/>
          <w:szCs w:val="19"/>
          <w:rFonts w:ascii="Calibri" w:hAnsi="Calibri"/>
        </w:rPr>
        <w:t xml:space="preserve">Vejamos: o demonstrativo apresentado não contém uma única linha de dedução ou abatimento. A Orientação Jurisprudencial 415 da SDI-1 do TST estabelece que a dedução se opera de forma global por título, e não mês a mês, sendo devida sempre que comprovado o pagamento sob a mesma rubrica.</w:t>
      </w:r>
    </w:p>
    <w:p>
      <w:pPr>
        <w:jc w:val="both"/>
        <w:spacing w:after="120"/>
      </w:pPr>
      <w:r>
        <w:rPr>
          <w:sz w:val="19"/>
          <w:szCs w:val="19"/>
          <w:rFonts w:ascii="Calibri" w:hAnsi="Calibri"/>
        </w:rPr>
        <w:t xml:space="preserve">Apurar a verba pelo valor cheio, ignorando o que já foi pago, importa enriquecimento sem causa, vedado pelo art. 884 do Código Civil, e contraria comando expresso do título executivo.</w:t>
      </w:r>
    </w:p>
    <w:p>
      <w:pPr>
        <w:jc w:val="both"/>
        <w:spacing w:after="60"/>
      </w:pPr>
      <w:r>
        <w:rPr>
          <w:sz w:val="19"/>
          <w:szCs w:val="19"/>
          <w:rFonts w:ascii="Calibri" w:hAnsi="Calibri"/>
        </w:rPr>
        <w:t xml:space="preserve">Transcreve-se o dispositivo invocado:</w:t>
      </w:r>
    </w:p>
    <w:p>
      <w:pPr>
        <w:ind w:left="720"/>
        <w:spacing w:after="40"/>
      </w:pPr>
      <w:r>
        <w:rPr>
          <w:b/>
          <w:color w:val="16213E"/>
          <w:sz w:val="18"/>
          <w:szCs w:val="18"/>
          <w:rFonts w:ascii="Calibri" w:hAnsi="Calibri"/>
        </w:rPr>
        <w:t xml:space="preserve">OJ 415 da SDI-1 do TST:</w:t>
      </w:r>
    </w:p>
    <w:p>
      <w:pPr>
        <w:jc w:val="both"/>
        <w:ind w:left="720"/>
        <w:spacing w:after="140"/>
      </w:pPr>
      <w:r>
        <w:rPr>
          <w:i/>
          <w:sz w:val="18"/>
          <w:szCs w:val="18"/>
          <w:rFonts w:ascii="Calibri" w:hAnsi="Calibri"/>
        </w:rPr>
        <w:t xml:space="preserve">“A dedução das horas extras comprovadamente pagas daquelas reconhecidas em juízo não pode ser limitada ao mês de apuração, devendo ser integral e considerar todo o período do pedido.”</w:t>
      </w:r>
    </w:p>
    <w:p>
      <w:pPr>
        <w:ind w:left="720"/>
        <w:spacing w:after="40"/>
      </w:pPr>
      <w:r>
        <w:rPr>
          <w:b/>
          <w:color w:val="16213E"/>
          <w:sz w:val="18"/>
          <w:szCs w:val="18"/>
          <w:rFonts w:ascii="Calibri" w:hAnsi="Calibri"/>
        </w:rPr>
        <w:t xml:space="preserve">Art. 884 do Código Civil:</w:t>
      </w:r>
    </w:p>
    <w:p>
      <w:pPr>
        <w:jc w:val="both"/>
        <w:ind w:left="720"/>
        <w:spacing w:after="140"/>
      </w:pPr>
      <w:r>
        <w:rPr>
          <w:i/>
          <w:sz w:val="18"/>
          <w:szCs w:val="18"/>
          <w:rFonts w:ascii="Calibri" w:hAnsi="Calibri"/>
        </w:rPr>
        <w:t xml:space="preserve">“Aquele que, sem justa causa, se enriquecer à custa de outrem, será obrigado a restituir o indevidamente auferido, feita a atualização dos valores monetários.”</w:t>
      </w:r>
    </w:p>
    <w:p>
      <w:pPr>
        <w:jc w:val="both"/>
        <w:spacing w:after="120"/>
      </w:pPr>
      <w:r>
        <w:rPr>
          <w:b/>
          <w:sz w:val="19"/>
          <w:szCs w:val="19"/>
          <w:rFonts w:ascii="Calibri" w:hAnsi="Calibri"/>
        </w:rPr>
        <w:t xml:space="preserve">Requer-se a retificação da conta para que sejam deduzidos todos os valores comprovadamente quitados sob o mesmo título. Restam impugnados os cálculos apresentados.</w:t>
      </w:r>
    </w:p>
    <w:p>
      <w:pPr>
        <w:spacing w:after="200"/>
      </w:pPr>
      <w:r>
        <w:rPr>
          <w:i/>
          <w:color w:val="5A6472"/>
          <w:sz w:val="17"/>
          <w:szCs w:val="17"/>
          <w:rFonts w:ascii="Calibri" w:hAnsi="Calibri"/>
        </w:rPr>
        <w:t xml:space="preserve">Fundamento legal: OJ 415 da SDI-1 do TST; Art. 884 do Código Civil</w:t>
      </w:r>
    </w:p>
    <w:p>
      <w:pPr>
        <w:spacing w:after="120" w:before="240"/>
      </w:pPr>
      <w:r>
        <w:rPr>
          <w:b/>
          <w:color w:val="16213E"/>
          <w:sz w:val="24"/>
          <w:szCs w:val="24"/>
          <w:rFonts w:ascii="Calibri" w:hAnsi="Calibri"/>
        </w:rPr>
        <w:t xml:space="preserve">3.6. Divisor divergente do deferido</w:t>
      </w:r>
    </w:p>
    <w:p>
      <w:pPr>
        <w:jc w:val="both"/>
        <w:spacing w:after="120"/>
      </w:pPr>
      <w:r>
        <w:rPr>
          <w:sz w:val="19"/>
          <w:szCs w:val="19"/>
          <w:rFonts w:ascii="Calibri" w:hAnsi="Calibri"/>
        </w:rPr>
        <w:t xml:space="preserve">Equivocou-se o Autor ao apurar as horas extras com divisor 180, quando a r. sentença adotou expressamente o divisor 220.</w:t>
      </w:r>
    </w:p>
    <w:p>
      <w:pPr>
        <w:jc w:val="both"/>
        <w:spacing w:after="120"/>
      </w:pPr>
      <w:r>
        <w:rPr>
          <w:sz w:val="19"/>
          <w:szCs w:val="19"/>
          <w:rFonts w:ascii="Calibri" w:hAnsi="Calibri"/>
        </w:rPr>
        <w:t xml:space="preserve">A r. sentença fixou o divisor 220 (fl. 413).</w:t>
      </w:r>
    </w:p>
    <w:p>
      <w:pPr>
        <w:jc w:val="both"/>
        <w:spacing w:after="120"/>
      </w:pPr>
      <w:r>
        <w:rPr>
          <w:sz w:val="19"/>
          <w:szCs w:val="19"/>
          <w:rFonts w:ascii="Calibri" w:hAnsi="Calibri"/>
        </w:rPr>
        <w:t xml:space="preserve">Vejamos: o demonstrativo do Autor indica divisor 180, o que majora o salário-hora.</w:t>
      </w:r>
    </w:p>
    <w:p>
      <w:pPr>
        <w:jc w:val="both"/>
        <w:spacing w:after="120"/>
      </w:pPr>
      <w:r>
        <w:rPr>
          <w:sz w:val="19"/>
          <w:szCs w:val="19"/>
          <w:rFonts w:ascii="Calibri" w:hAnsi="Calibri"/>
        </w:rPr>
        <w:t xml:space="preserve">A liquidação não pode inovar o julgado, nos termos do art. 879, §1º, da CLT.</w:t>
      </w:r>
    </w:p>
    <w:p>
      <w:pPr>
        <w:jc w:val="both"/>
        <w:spacing w:after="60"/>
      </w:pPr>
      <w:r>
        <w:rPr>
          <w:sz w:val="19"/>
          <w:szCs w:val="19"/>
          <w:rFonts w:ascii="Calibri" w:hAnsi="Calibri"/>
        </w:rPr>
        <w:t xml:space="preserve">Transcreve-se o dispositivo invocado:</w:t>
      </w:r>
    </w:p>
    <w:p>
      <w:pPr>
        <w:ind w:left="720"/>
        <w:spacing w:after="40"/>
      </w:pPr>
      <w:r>
        <w:rPr>
          <w:b/>
          <w:color w:val="16213E"/>
          <w:sz w:val="18"/>
          <w:szCs w:val="18"/>
          <w:rFonts w:ascii="Calibri" w:hAnsi="Calibri"/>
        </w:rPr>
        <w:t xml:space="preserve">Art. 879, § 1º, da CLT:</w:t>
      </w:r>
    </w:p>
    <w:p>
      <w:pPr>
        <w:jc w:val="both"/>
        <w:ind w:left="720"/>
        <w:spacing w:after="140"/>
      </w:pPr>
      <w:r>
        <w:rPr>
          <w:i/>
          <w:sz w:val="18"/>
          <w:szCs w:val="18"/>
          <w:rFonts w:ascii="Calibri" w:hAnsi="Calibri"/>
        </w:rPr>
        <w:t xml:space="preserve">“Na liquidação, não se poderá modificar, ou inovar, a sentença liquidanda nem discutir matéria pertinente à causa principal.”</w:t>
      </w:r>
    </w:p>
    <w:p>
      <w:pPr>
        <w:ind w:left="720"/>
        <w:spacing w:after="40"/>
      </w:pPr>
      <w:r>
        <w:rPr>
          <w:b/>
          <w:color w:val="16213E"/>
          <w:sz w:val="18"/>
          <w:szCs w:val="18"/>
          <w:rFonts w:ascii="Calibri" w:hAnsi="Calibri"/>
        </w:rPr>
        <w:t xml:space="preserve">Súmula 431 do TST:</w:t>
      </w:r>
    </w:p>
    <w:p>
      <w:pPr>
        <w:jc w:val="both"/>
        <w:ind w:left="720"/>
        <w:spacing w:after="140"/>
      </w:pPr>
      <w:r>
        <w:rPr>
          <w:i/>
          <w:sz w:val="18"/>
          <w:szCs w:val="18"/>
          <w:rFonts w:ascii="Calibri" w:hAnsi="Calibri"/>
        </w:rPr>
        <w:t xml:space="preserve">“Para os empregados a que alude o art. 58, caput, da CLT, quando sujeitos a 40 (quarenta) horas semanais de trabalho, aplica-se o divisor 200 (duzentos) para o cálculo do valor do salário-hora.”</w:t>
      </w:r>
    </w:p>
    <w:p>
      <w:pPr>
        <w:jc w:val="both"/>
        <w:spacing w:after="120"/>
      </w:pPr>
      <w:r>
        <w:rPr>
          <w:b/>
          <w:sz w:val="19"/>
          <w:szCs w:val="19"/>
          <w:rFonts w:ascii="Calibri" w:hAnsi="Calibri"/>
        </w:rPr>
        <w:t xml:space="preserve">Impõe-se a retificação da conta para adoção do divisor 220. Resta impugnado o cálculo obreiro.</w:t>
      </w:r>
    </w:p>
    <w:p>
      <w:pPr>
        <w:spacing w:after="200"/>
      </w:pPr>
      <w:r>
        <w:rPr>
          <w:i/>
          <w:color w:val="5A6472"/>
          <w:sz w:val="17"/>
          <w:szCs w:val="17"/>
          <w:rFonts w:ascii="Calibri" w:hAnsi="Calibri"/>
        </w:rPr>
        <w:t xml:space="preserve">Fundamento legal: Art. 879, § 1º, da CLT; Súmula 431 do TST</w:t>
      </w:r>
    </w:p>
    <w:p>
      <w:pPr>
        <w:spacing w:after="120" w:before="240"/>
      </w:pPr>
      <w:r>
        <w:rPr>
          <w:b/>
          <w:color w:val="16213E"/>
          <w:sz w:val="24"/>
          <w:szCs w:val="24"/>
          <w:rFonts w:ascii="Calibri" w:hAnsi="Calibri"/>
        </w:rPr>
        <w:t xml:space="preserve">3.7. Percentual de honorários advocatícios divergente do fixado</w:t>
      </w:r>
    </w:p>
    <w:p>
      <w:pPr>
        <w:jc w:val="both"/>
        <w:spacing w:after="120"/>
      </w:pPr>
      <w:r>
        <w:rPr>
          <w:sz w:val="19"/>
          <w:szCs w:val="19"/>
          <w:rFonts w:ascii="Calibri" w:hAnsi="Calibri"/>
        </w:rPr>
        <w:t xml:space="preserve">Equivocou-se o Autor ao apurar honorários advocatícios sucumbenciais à razão de 15%, quando a decisão os fixou em 5%.</w:t>
      </w:r>
    </w:p>
    <w:p>
      <w:pPr>
        <w:jc w:val="both"/>
        <w:spacing w:after="120"/>
      </w:pPr>
      <w:r>
        <w:rPr>
          <w:sz w:val="19"/>
          <w:szCs w:val="19"/>
          <w:rFonts w:ascii="Calibri" w:hAnsi="Calibri"/>
        </w:rPr>
        <w:t xml:space="preserve">A decisão arbitrou os honorários sucumbenciais em 5% sobre valor da condenação (Acórdão, fl. 640).</w:t>
      </w:r>
    </w:p>
    <w:p>
      <w:pPr>
        <w:jc w:val="both"/>
        <w:spacing w:after="120"/>
      </w:pPr>
      <w:r>
        <w:rPr>
          <w:sz w:val="19"/>
          <w:szCs w:val="19"/>
          <w:rFonts w:ascii="Calibri" w:hAnsi="Calibri"/>
        </w:rPr>
        <w:t xml:space="preserve">Vejamos: o demonstrativo apura a verba honorária em 15%. O percentual dos honorários é fixado por decisão judicial, nos limites do art. 791-A da CLT, e uma vez transitada em julgado não pode ser alterado na fase de liquidação.</w:t>
      </w:r>
    </w:p>
    <w:p>
      <w:pPr>
        <w:jc w:val="both"/>
        <w:spacing w:after="60"/>
      </w:pPr>
      <w:r>
        <w:rPr>
          <w:sz w:val="19"/>
          <w:szCs w:val="19"/>
          <w:rFonts w:ascii="Calibri" w:hAnsi="Calibri"/>
        </w:rPr>
        <w:t xml:space="preserve">Transcreve-se o dispositivo invocado:</w:t>
      </w:r>
    </w:p>
    <w:p>
      <w:pPr>
        <w:ind w:left="720"/>
        <w:spacing w:after="40"/>
      </w:pPr>
      <w:r>
        <w:rPr>
          <w:b/>
          <w:color w:val="16213E"/>
          <w:sz w:val="18"/>
          <w:szCs w:val="18"/>
          <w:rFonts w:ascii="Calibri" w:hAnsi="Calibri"/>
        </w:rPr>
        <w:t xml:space="preserve">Art. 791-A, caput, da CLT:</w:t>
      </w:r>
    </w:p>
    <w:p>
      <w:pPr>
        <w:jc w:val="both"/>
        <w:ind w:left="720"/>
        <w:spacing w:after="140"/>
      </w:pPr>
      <w:r>
        <w:rPr>
          <w:i/>
          <w:sz w:val="18"/>
          <w:szCs w:val="18"/>
          <w:rFonts w:ascii="Calibri" w:hAnsi="Calibri"/>
        </w:rPr>
        <w:t xml:space="preserve">“Ao advogado, ainda que atue em causa própria, serão devidos honorários de sucumbência, fixados entre o mínimo de 5% (cinco por cento) e o máximo de 15% (quinze por cento) sobre o valor que resultar da liquidação da sentença, do proveito econômico obtido ou, não sendo possível mensurá-lo, sobre o valor atualizado da causa.”</w:t>
      </w:r>
    </w:p>
    <w:p>
      <w:pPr>
        <w:ind w:left="720"/>
        <w:spacing w:after="40"/>
      </w:pPr>
      <w:r>
        <w:rPr>
          <w:b/>
          <w:color w:val="16213E"/>
          <w:sz w:val="18"/>
          <w:szCs w:val="18"/>
          <w:rFonts w:ascii="Calibri" w:hAnsi="Calibri"/>
        </w:rPr>
        <w:t xml:space="preserve">Art. 879, § 1º, da CLT:</w:t>
      </w:r>
    </w:p>
    <w:p>
      <w:pPr>
        <w:jc w:val="both"/>
        <w:ind w:left="720"/>
        <w:spacing w:after="140"/>
      </w:pPr>
      <w:r>
        <w:rPr>
          <w:i/>
          <w:sz w:val="18"/>
          <w:szCs w:val="18"/>
          <w:rFonts w:ascii="Calibri" w:hAnsi="Calibri"/>
        </w:rPr>
        <w:t xml:space="preserve">“Na liquidação, não se poderá modificar, ou inovar, a sentença liquidanda nem discutir matéria pertinente à causa principal.”</w:t>
      </w:r>
    </w:p>
    <w:p>
      <w:pPr>
        <w:jc w:val="both"/>
        <w:spacing w:after="120"/>
      </w:pPr>
      <w:r>
        <w:rPr>
          <w:b/>
          <w:sz w:val="19"/>
          <w:szCs w:val="19"/>
          <w:rFonts w:ascii="Calibri" w:hAnsi="Calibri"/>
        </w:rPr>
        <w:t xml:space="preserve">Impõe-se a retificação da conta para que os honorários observem o percentual de 5%, tal como fixado. Resta impugnado o cálculo obreiro.</w:t>
      </w:r>
    </w:p>
    <w:p>
      <w:pPr>
        <w:spacing w:after="200"/>
      </w:pPr>
      <w:r>
        <w:rPr>
          <w:i/>
          <w:color w:val="5A6472"/>
          <w:sz w:val="17"/>
          <w:szCs w:val="17"/>
          <w:rFonts w:ascii="Calibri" w:hAnsi="Calibri"/>
        </w:rPr>
        <w:t xml:space="preserve">Fundamento legal: Art. 791-A, caput, da CLT; Art. 879, § 1º, da CLT</w:t>
      </w:r>
    </w:p>
    <w:p>
      <w:pPr>
        <w:spacing w:after="120" w:before="240"/>
      </w:pPr>
      <w:r>
        <w:rPr>
          <w:b/>
          <w:color w:val="16213E"/>
          <w:sz w:val="24"/>
          <w:szCs w:val="24"/>
          <w:rFonts w:ascii="Calibri" w:hAnsi="Calibri"/>
        </w:rPr>
        <w:t xml:space="preserve">3.8. FGTS incidindo sobre reflexos — bis in idem</w:t>
      </w:r>
    </w:p>
    <w:p>
      <w:pPr>
        <w:jc w:val="both"/>
        <w:spacing w:after="120"/>
      </w:pPr>
      <w:r>
        <w:rPr>
          <w:sz w:val="19"/>
          <w:szCs w:val="19"/>
          <w:rFonts w:ascii="Calibri" w:hAnsi="Calibri"/>
        </w:rPr>
        <w:t xml:space="preserve">Equivocou-se o Autor ao fazer incidir o FGTS também sobre os reflexos apurados, e não apenas sobre a parcela principal.</w:t>
      </w:r>
    </w:p>
    <w:p>
      <w:pPr>
        <w:jc w:val="both"/>
        <w:spacing w:after="120"/>
      </w:pPr>
      <w:r>
        <w:rPr>
          <w:sz w:val="19"/>
          <w:szCs w:val="19"/>
          <w:rFonts w:ascii="Calibri" w:hAnsi="Calibri"/>
        </w:rPr>
        <w:t xml:space="preserve">Vejamos: o demonstrativo registra a incidência do FGTS sobre "principal e reflexos". O FGTS, na forma do art. 15 da Lei 8.036/90 e da Súmula 63 do TST, incide sobre a remuneração paga ou devida — ou seja, sobre a parcela principal. Fazê-lo incidir também sobre os reflexos dessa mesma parcela importa dupla incidência sobre o mesmo fato gerador.</w:t>
      </w:r>
    </w:p>
    <w:p>
      <w:pPr>
        <w:jc w:val="both"/>
        <w:spacing w:after="120"/>
      </w:pPr>
      <w:r>
        <w:rPr>
          <w:sz w:val="19"/>
          <w:szCs w:val="19"/>
          <w:rFonts w:ascii="Calibri" w:hAnsi="Calibri"/>
        </w:rPr>
        <w:t xml:space="preserve">Ressalva-se que a incidência sobre reflexos só é devida quando houver deferimento expresso nesse sentido, o que deve ser conferido no título.</w:t>
      </w:r>
    </w:p>
    <w:p>
      <w:pPr>
        <w:jc w:val="both"/>
        <w:spacing w:after="60"/>
      </w:pPr>
      <w:r>
        <w:rPr>
          <w:sz w:val="19"/>
          <w:szCs w:val="19"/>
          <w:rFonts w:ascii="Calibri" w:hAnsi="Calibri"/>
        </w:rPr>
        <w:t xml:space="preserve">Transcreve-se o dispositivo invocado:</w:t>
      </w:r>
    </w:p>
    <w:p>
      <w:pPr>
        <w:ind w:left="720"/>
        <w:spacing w:after="40"/>
      </w:pPr>
      <w:r>
        <w:rPr>
          <w:b/>
          <w:color w:val="16213E"/>
          <w:sz w:val="18"/>
          <w:szCs w:val="18"/>
          <w:rFonts w:ascii="Calibri" w:hAnsi="Calibri"/>
        </w:rPr>
        <w:t xml:space="preserve">Art. 15 da Lei 8.036/90:</w:t>
      </w:r>
    </w:p>
    <w:p>
      <w:pPr>
        <w:jc w:val="both"/>
        <w:ind w:left="720"/>
        <w:spacing w:after="140"/>
      </w:pPr>
      <w:r>
        <w:rPr>
          <w:i/>
          <w:sz w:val="18"/>
          <w:szCs w:val="18"/>
          <w:rFonts w:ascii="Calibri" w:hAnsi="Calibri"/>
        </w:rPr>
        <w:t xml:space="preserve">“Para os fins previstos nesta Lei, todos os empregadores ficam obrigados a depositar, até o dia 7 (sete) de cada mês, em conta bancária vinculada, a importância correspondente a 8 (oito) por cento da remuneração paga ou devida, no mês anterior, a cada trabalhador.”</w:t>
      </w:r>
    </w:p>
    <w:p>
      <w:pPr>
        <w:ind w:left="720"/>
        <w:spacing w:after="40"/>
      </w:pPr>
      <w:r>
        <w:rPr>
          <w:b/>
          <w:color w:val="16213E"/>
          <w:sz w:val="18"/>
          <w:szCs w:val="18"/>
          <w:rFonts w:ascii="Calibri" w:hAnsi="Calibri"/>
        </w:rPr>
        <w:t xml:space="preserve">Súmula 63 do TST:</w:t>
      </w:r>
    </w:p>
    <w:p>
      <w:pPr>
        <w:jc w:val="both"/>
        <w:ind w:left="720"/>
        <w:spacing w:after="140"/>
      </w:pPr>
      <w:r>
        <w:rPr>
          <w:i/>
          <w:sz w:val="18"/>
          <w:szCs w:val="18"/>
          <w:rFonts w:ascii="Calibri" w:hAnsi="Calibri"/>
        </w:rPr>
        <w:t xml:space="preserve">“A contribuição para o Fundo de Garantia do Tempo de Serviço incide sobre a remuneração mensal devida ao empregado, inclusive horas extras e adicionais eventuais.”</w:t>
      </w:r>
    </w:p>
    <w:p>
      <w:pPr>
        <w:jc w:val="both"/>
        <w:spacing w:after="120"/>
      </w:pPr>
      <w:r>
        <w:rPr>
          <w:b/>
          <w:sz w:val="19"/>
          <w:szCs w:val="19"/>
          <w:rFonts w:ascii="Calibri" w:hAnsi="Calibri"/>
        </w:rPr>
        <w:t xml:space="preserve">Requer-se a retificação da conta para que o FGTS incida exclusivamente sobre as parcelas principais deferidas. Resta impugnado o cálculo obreiro.</w:t>
      </w:r>
    </w:p>
    <w:p>
      <w:pPr>
        <w:spacing w:after="200"/>
      </w:pPr>
      <w:r>
        <w:rPr>
          <w:i/>
          <w:color w:val="5A6472"/>
          <w:sz w:val="17"/>
          <w:szCs w:val="17"/>
          <w:rFonts w:ascii="Calibri" w:hAnsi="Calibri"/>
        </w:rPr>
        <w:t xml:space="preserve">Fundamento legal: Art. 15 da Lei 8.036/90; Súmula 63 do TST</w:t>
      </w:r>
    </w:p>
    <w:p>
      <w:pPr>
        <w:spacing w:after="120" w:before="240"/>
      </w:pPr>
      <w:r>
        <w:rPr>
          <w:b/>
          <w:color w:val="16213E"/>
          <w:sz w:val="24"/>
          <w:szCs w:val="24"/>
          <w:rFonts w:ascii="Calibri" w:hAnsi="Calibri"/>
        </w:rPr>
        <w:t xml:space="preserve">3.9. Verba deferida sem apuração no cálculo — Intervalo intrajornada suprimido</w:t>
      </w:r>
    </w:p>
    <w:p>
      <w:pPr>
        <w:jc w:val="both"/>
        <w:spacing w:after="120"/>
      </w:pPr>
      <w:r>
        <w:rPr>
          <w:sz w:val="19"/>
          <w:szCs w:val="19"/>
          <w:rFonts w:ascii="Calibri" w:hAnsi="Calibri"/>
        </w:rPr>
        <w:t xml:space="preserve">A verba "Intervalo intrajornada suprimido", deferida na decisão (Sentença, fl. 414), não foi localizada de forma autônoma no cálculo apresentado.</w:t>
      </w:r>
    </w:p>
    <w:p>
      <w:pPr>
        <w:jc w:val="both"/>
        <w:spacing w:after="120"/>
      </w:pPr>
      <w:r>
        <w:rPr>
          <w:sz w:val="19"/>
          <w:szCs w:val="19"/>
          <w:rFonts w:ascii="Calibri" w:hAnsi="Calibri"/>
        </w:rPr>
        <w:t xml:space="preserve">Vejamos: o demonstrativo não traz rubrica correspondente à verba deferida. Cabe verificar se a parcela foi omitida ou se está embutida em outra rubrica sob denominação diversa, o que exige conferência antes de qualquer afirmação.</w:t>
      </w:r>
    </w:p>
    <w:p>
      <w:pPr>
        <w:jc w:val="both"/>
        <w:spacing w:after="60"/>
      </w:pPr>
      <w:r>
        <w:rPr>
          <w:sz w:val="19"/>
          <w:szCs w:val="19"/>
          <w:rFonts w:ascii="Calibri" w:hAnsi="Calibri"/>
        </w:rPr>
        <w:t xml:space="preserve">Transcreve-se o dispositivo invocado:</w:t>
      </w:r>
    </w:p>
    <w:p>
      <w:pPr>
        <w:ind w:left="720"/>
        <w:spacing w:after="40"/>
      </w:pPr>
      <w:r>
        <w:rPr>
          <w:b/>
          <w:color w:val="16213E"/>
          <w:sz w:val="18"/>
          <w:szCs w:val="18"/>
          <w:rFonts w:ascii="Calibri" w:hAnsi="Calibri"/>
        </w:rPr>
        <w:t xml:space="preserve">Art. 879, § 1º, da CLT:</w:t>
      </w:r>
    </w:p>
    <w:p>
      <w:pPr>
        <w:jc w:val="both"/>
        <w:ind w:left="720"/>
        <w:spacing w:after="140"/>
      </w:pPr>
      <w:r>
        <w:rPr>
          <w:i/>
          <w:sz w:val="18"/>
          <w:szCs w:val="18"/>
          <w:rFonts w:ascii="Calibri" w:hAnsi="Calibri"/>
        </w:rPr>
        <w:t xml:space="preserve">“Na liquidação, não se poderá modificar, ou inovar, a sentença liquidanda nem discutir matéria pertinente à causa principal.”</w:t>
      </w:r>
    </w:p>
    <w:p>
      <w:pPr>
        <w:jc w:val="both"/>
        <w:spacing w:after="120"/>
      </w:pPr>
      <w:r>
        <w:rPr>
          <w:b/>
          <w:sz w:val="19"/>
          <w:szCs w:val="19"/>
          <w:rFonts w:ascii="Calibri" w:hAnsi="Calibri"/>
        </w:rPr>
        <w:t xml:space="preserve">Ponto submetido a conferência, não impugnado desde logo.</w:t>
      </w:r>
    </w:p>
    <w:p>
      <w:pPr>
        <w:spacing w:after="200"/>
      </w:pPr>
      <w:r>
        <w:rPr>
          <w:i/>
          <w:color w:val="5A6472"/>
          <w:sz w:val="17"/>
          <w:szCs w:val="17"/>
          <w:rFonts w:ascii="Calibri" w:hAnsi="Calibri"/>
        </w:rPr>
        <w:t xml:space="preserve">Fundamento legal: Art. 879, § 1º, da CLT</w:t>
      </w:r>
    </w:p>
    <w:p>
      <w:pPr>
        <w:spacing w:after="120" w:before="240"/>
      </w:pPr>
      <w:r>
        <w:rPr>
          <w:b/>
          <w:color w:val="16213E"/>
          <w:sz w:val="24"/>
          <w:szCs w:val="24"/>
          <w:rFonts w:ascii="Calibri" w:hAnsi="Calibri"/>
        </w:rPr>
        <w:t xml:space="preserve">3.10. Limitação aos valores da inicial — conferir os totais apurados</w:t>
      </w:r>
    </w:p>
    <w:p>
      <w:pPr>
        <w:jc w:val="both"/>
        <w:spacing w:after="120"/>
      </w:pPr>
      <w:r>
        <w:rPr>
          <w:sz w:val="19"/>
          <w:szCs w:val="19"/>
          <w:rFonts w:ascii="Calibri" w:hAnsi="Calibri"/>
        </w:rPr>
        <w:t xml:space="preserve">A decisão limitou a condenação aos valores indicados na petição inicial (fl. 418), o que impõe a conferência, verba a verba, dos montantes apurados.</w:t>
      </w:r>
    </w:p>
    <w:p>
      <w:pPr>
        <w:jc w:val="both"/>
        <w:spacing w:after="120"/>
      </w:pPr>
      <w:r>
        <w:rPr>
          <w:sz w:val="19"/>
          <w:szCs w:val="19"/>
          <w:rFonts w:ascii="Calibri" w:hAnsi="Calibri"/>
        </w:rPr>
        <w:t xml:space="preserve">Vejamos: o cálculo apresentado alcança o total de R$ 402.118,73. Nos termos do art. 840, §1º, da CLT, e havendo limitação expressa no título, a apuração não pode superar os valores atribuídos a cada pedido na exordial.</w:t>
      </w:r>
    </w:p>
    <w:p>
      <w:pPr>
        <w:jc w:val="both"/>
        <w:spacing w:after="120"/>
      </w:pPr>
      <w:r>
        <w:rPr>
          <w:sz w:val="19"/>
          <w:szCs w:val="19"/>
          <w:rFonts w:ascii="Calibri" w:hAnsi="Calibri"/>
        </w:rPr>
        <w:t xml:space="preserve">A conferência exige o cotejo entre cada rubrica apurada e o valor correspondente indicado na inicial.</w:t>
      </w:r>
    </w:p>
    <w:p>
      <w:pPr>
        <w:jc w:val="both"/>
        <w:spacing w:after="60"/>
      </w:pPr>
      <w:r>
        <w:rPr>
          <w:sz w:val="19"/>
          <w:szCs w:val="19"/>
          <w:rFonts w:ascii="Calibri" w:hAnsi="Calibri"/>
        </w:rPr>
        <w:t xml:space="preserve">Transcreve-se o dispositivo invocado:</w:t>
      </w:r>
    </w:p>
    <w:p>
      <w:pPr>
        <w:ind w:left="720"/>
        <w:spacing w:after="40"/>
      </w:pPr>
      <w:r>
        <w:rPr>
          <w:b/>
          <w:color w:val="16213E"/>
          <w:sz w:val="18"/>
          <w:szCs w:val="18"/>
          <w:rFonts w:ascii="Calibri" w:hAnsi="Calibri"/>
        </w:rPr>
        <w:t xml:space="preserve">Art. 840, § 1º, da CLT:</w:t>
      </w:r>
    </w:p>
    <w:p>
      <w:pPr>
        <w:jc w:val="both"/>
        <w:ind w:left="720"/>
        <w:spacing w:after="140"/>
      </w:pPr>
      <w:r>
        <w:rPr>
          <w:i/>
          <w:sz w:val="18"/>
          <w:szCs w:val="18"/>
          <w:rFonts w:ascii="Calibri" w:hAnsi="Calibri"/>
        </w:rPr>
        <w:t xml:space="preserve">“Sendo escrita, a reclamação deverá conter a designação do juízo, a qualificação das partes, a breve exposição dos fatos de que resulte o dissídio, o pedido, que deverá ser certo, determinado e com indicação de seu valor, a data e a assinatura do reclamante ou de seu representante.”</w:t>
      </w:r>
    </w:p>
    <w:p>
      <w:pPr>
        <w:jc w:val="both"/>
        <w:spacing w:after="120"/>
      </w:pPr>
      <w:r>
        <w:rPr>
          <w:b/>
          <w:sz w:val="19"/>
          <w:szCs w:val="19"/>
          <w:rFonts w:ascii="Calibri" w:hAnsi="Calibri"/>
        </w:rPr>
        <w:t xml:space="preserve">Constatado excesso, requer-se desde já a adequação da conta aos limites da petição inicial.</w:t>
      </w:r>
    </w:p>
    <w:p>
      <w:pPr>
        <w:spacing w:after="200"/>
      </w:pPr>
      <w:r>
        <w:rPr>
          <w:i/>
          <w:color w:val="5A6472"/>
          <w:sz w:val="17"/>
          <w:szCs w:val="17"/>
          <w:rFonts w:ascii="Calibri" w:hAnsi="Calibri"/>
        </w:rPr>
        <w:t xml:space="preserve">Fundamento legal: Art. 840, § 1º, da CLT</w:t>
      </w:r>
    </w:p>
    <w:p>
      <w:pPr>
        <w:spacing w:after="120" w:before="240"/>
      </w:pPr>
      <w:r>
        <w:rPr>
          <w:b/>
          <w:color w:val="16213E"/>
          <w:sz w:val="24"/>
          <w:szCs w:val="24"/>
          <w:rFonts w:ascii="Calibri" w:hAnsi="Calibri"/>
        </w:rPr>
        <w:t xml:space="preserve">3.11. Pontos a desenvolver (conferência em curso)</w:t>
      </w:r>
    </w:p>
    <w:p>
      <w:pPr>
        <w:ind w:left="360"/>
        <w:spacing w:after="80"/>
      </w:pPr>
      <w:r>
        <w:rPr>
          <w:sz w:val="19"/>
          <w:szCs w:val="19"/>
          <w:rFonts w:ascii="Calibri" w:hAnsi="Calibri"/>
        </w:rPr>
        <w:t xml:space="preserve">•  Alíquota SAT — FAP da atividade</w:t>
      </w:r>
    </w:p>
    <w:p>
      <w:pPr>
        <w:spacing w:after="120" w:before="240"/>
      </w:pPr>
      <w:r>
        <w:rPr>
          <w:b/>
          <w:color w:val="16213E"/>
          <w:sz w:val="28"/>
          <w:szCs w:val="28"/>
          <w:rFonts w:ascii="Calibri" w:hAnsi="Calibri"/>
        </w:rPr>
        <w:t xml:space="preserve">4. Conferência verba a verba</w:t>
      </w:r>
    </w:p>
    <w:p>
      <w:pPr>
        <w:jc w:val="both"/>
        <w:spacing w:after="120"/>
      </w:pPr>
      <w:r>
        <w:rPr>
          <w:sz w:val="19"/>
          <w:szCs w:val="19"/>
          <w:rFonts w:ascii="Calibri" w:hAnsi="Calibri"/>
        </w:rPr>
        <w:t xml:space="preserve">Quadro de conferência de todas as verbas do processo e de todas as rubricas do cálculo apresentado.</w:t>
      </w:r>
    </w:p>
    <w:tbl>
      <w:tblPr>
        <w:tblW w:w="9000" w:type="dxa"/>
        <w:tblLayout w:type="fixed"/>
      </w:tblPr>
      <w:tblGrid>
        <w:gridCol w:w="2800"/>
        <w:gridCol w:w="2400"/>
        <w:gridCol w:w="2400"/>
        <w:gridCol w:w="1400"/>
      </w:tblGrid>
      <w:tr>
        <w:tc>
          <w:tcPr>
            <w:tcW w:w="2800" w:type="dxa"/>
            <w:shd w:val="clear" w:color="auto" w:fill="16213E"/>
            <w:tcBorders>
              <w:top w:val="single" w:sz="4" w:color="D3D3D3"/>
              <w:left w:val="single" w:sz="4" w:color="D3D3D3"/>
              <w:bottom w:val="single" w:sz="4" w:color="D3D3D3"/>
              <w:right w:val="single" w:sz="4" w:color="D3D3D3"/>
            </w:tcBorders>
          </w:tcPr>
          <w:p>
            <w:pPr>
              <w:spacing w:after="0"/>
            </w:pPr>
            <w:r>
              <w:rPr>
                <w:b/>
                <w:color w:val="FFFFFF"/>
                <w:sz w:val="18"/>
                <w:szCs w:val="18"/>
                <w:rFonts w:ascii="Calibri" w:hAnsi="Calibri"/>
              </w:rPr>
              <w:t xml:space="preserve">Verba</w:t>
            </w:r>
          </w:p>
        </w:tc>
        <w:tc>
          <w:tcPr>
            <w:tcW w:w="2400" w:type="dxa"/>
            <w:shd w:val="clear" w:color="auto" w:fill="16213E"/>
            <w:tcBorders>
              <w:top w:val="single" w:sz="4" w:color="D3D3D3"/>
              <w:left w:val="single" w:sz="4" w:color="D3D3D3"/>
              <w:bottom w:val="single" w:sz="4" w:color="D3D3D3"/>
              <w:right w:val="single" w:sz="4" w:color="D3D3D3"/>
            </w:tcBorders>
          </w:tcPr>
          <w:p>
            <w:pPr>
              <w:spacing w:after="0"/>
            </w:pPr>
            <w:r>
              <w:rPr>
                <w:b/>
                <w:color w:val="FFFFFF"/>
                <w:sz w:val="18"/>
                <w:szCs w:val="18"/>
                <w:rFonts w:ascii="Calibri" w:hAnsi="Calibri"/>
              </w:rPr>
              <w:t xml:space="preserve">Deferido</w:t>
            </w:r>
          </w:p>
        </w:tc>
        <w:tc>
          <w:tcPr>
            <w:tcW w:w="2400" w:type="dxa"/>
            <w:shd w:val="clear" w:color="auto" w:fill="16213E"/>
            <w:tcBorders>
              <w:top w:val="single" w:sz="4" w:color="D3D3D3"/>
              <w:left w:val="single" w:sz="4" w:color="D3D3D3"/>
              <w:bottom w:val="single" w:sz="4" w:color="D3D3D3"/>
              <w:right w:val="single" w:sz="4" w:color="D3D3D3"/>
            </w:tcBorders>
          </w:tcPr>
          <w:p>
            <w:pPr>
              <w:spacing w:after="0"/>
            </w:pPr>
            <w:r>
              <w:rPr>
                <w:b/>
                <w:color w:val="FFFFFF"/>
                <w:sz w:val="18"/>
                <w:szCs w:val="18"/>
                <w:rFonts w:ascii="Calibri" w:hAnsi="Calibri"/>
              </w:rPr>
              <w:t xml:space="preserve">Apurado</w:t>
            </w:r>
          </w:p>
        </w:tc>
        <w:tc>
          <w:tcPr>
            <w:tcW w:w="1400" w:type="dxa"/>
            <w:shd w:val="clear" w:color="auto" w:fill="16213E"/>
            <w:tcBorders>
              <w:top w:val="single" w:sz="4" w:color="D3D3D3"/>
              <w:left w:val="single" w:sz="4" w:color="D3D3D3"/>
              <w:bottom w:val="single" w:sz="4" w:color="D3D3D3"/>
              <w:right w:val="single" w:sz="4" w:color="D3D3D3"/>
            </w:tcBorders>
          </w:tcPr>
          <w:p>
            <w:pPr>
              <w:spacing w:after="0"/>
            </w:pPr>
            <w:r>
              <w:rPr>
                <w:b/>
                <w:color w:val="FFFFFF"/>
                <w:sz w:val="18"/>
                <w:szCs w:val="18"/>
                <w:rFonts w:ascii="Calibri" w:hAnsi="Calibri"/>
              </w:rPr>
              <w:t xml:space="preserve">Status</w:t>
            </w:r>
          </w:p>
        </w:tc>
      </w:tr>
      <w:tr>
        <w:tc>
          <w:tcPr>
            <w:tcW w:w="2800" w:type="dx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Horas extras excedentes da 8ª diária</w:t>
            </w:r>
          </w:p>
        </w:tc>
        <w:tc>
          <w:tcPr>
            <w:tcW w:w="24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2022-08-09 a 2024-01-08 · 50% · divisor 220</w:t>
            </w:r>
          </w:p>
        </w:tc>
        <w:tc>
          <w:tcPr>
            <w:tcW w:w="24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divisor 180 · R$ 56102.38</w:t>
            </w:r>
          </w:p>
        </w:tc>
        <w:tc>
          <w:tcPr>
            <w:tcW w:w="1400" w:type="dxa"/>
            <w:shd w:val="clear" w:color="auto" w:fill="FBECEC"/>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Divergente</w:t>
            </w:r>
          </w:p>
        </w:tc>
      </w:tr>
      <w:tr>
        <w:tc>
          <w:tcPr>
            <w:tcW w:w="2800" w:type="dx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Intervalo intrajornada suprimido</w:t>
            </w:r>
          </w:p>
        </w:tc>
        <w:tc>
          <w:tcPr>
            <w:tcW w:w="24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deferida</w:t>
            </w:r>
          </w:p>
        </w:tc>
        <w:tc>
          <w:tcPr>
            <w:tcW w:w="24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não apurada</w:t>
            </w:r>
          </w:p>
        </w:tc>
        <w:tc>
          <w:tcPr>
            <w:tcW w:w="1400" w:type="dxa"/>
            <w:shd w:val="clear" w:color="auto" w:fill="FFF0D8"/>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Não apurada</w:t>
            </w:r>
          </w:p>
        </w:tc>
      </w:tr>
      <w:tr>
        <w:tc>
          <w:tcPr>
            <w:tcW w:w="2800" w:type="dx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Salário extrafolha</w:t>
            </w:r>
          </w:p>
        </w:tc>
        <w:tc>
          <w:tcPr>
            <w:tcW w:w="24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indeferida</w:t>
            </w:r>
          </w:p>
        </w:tc>
        <w:tc>
          <w:tcPr>
            <w:tcW w:w="24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não apurada</w:t>
            </w:r>
          </w:p>
        </w:tc>
        <w:tc>
          <w:tcPr>
            <w:tcW w:w="1400" w:type="dxa"/>
            <w:shd w:val="clear" w:color="auto" w:fill="EAF5EC"/>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Confere</w:t>
            </w:r>
          </w:p>
        </w:tc>
      </w:tr>
      <w:tr>
        <w:tc>
          <w:tcPr>
            <w:tcW w:w="2800" w:type="dx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Adicional de periculosidade</w:t>
            </w:r>
          </w:p>
        </w:tc>
        <w:tc>
          <w:tcPr>
            <w:tcW w:w="24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excluída</w:t>
            </w:r>
          </w:p>
        </w:tc>
        <w:tc>
          <w:tcPr>
            <w:tcW w:w="24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R$ 22100</w:t>
            </w:r>
          </w:p>
        </w:tc>
        <w:tc>
          <w:tcPr>
            <w:tcW w:w="1400" w:type="dxa"/>
            <w:shd w:val="clear" w:color="auto" w:fill="FBECEC"/>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Sem deferimento</w:t>
            </w:r>
          </w:p>
        </w:tc>
      </w:tr>
      <w:tr>
        <w:tc>
          <w:tcPr>
            <w:tcW w:w="2800" w:type="dx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INTERVALO INTERJORNADAS</w:t>
            </w:r>
          </w:p>
        </w:tc>
        <w:tc>
          <w:tcPr>
            <w:tcW w:w="24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não localizada na decisão</w:t>
            </w:r>
          </w:p>
        </w:tc>
        <w:tc>
          <w:tcPr>
            <w:tcW w:w="24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R$ 25611.21</w:t>
            </w:r>
          </w:p>
        </w:tc>
        <w:tc>
          <w:tcPr>
            <w:tcW w:w="1400" w:type="dxa"/>
            <w:shd w:val="clear" w:color="auto" w:fill="FBECEC"/>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Sem deferimento</w:t>
            </w:r>
          </w:p>
        </w:tc>
      </w:tr>
      <w:tr>
        <w:tc>
          <w:tcPr>
            <w:tcW w:w="2800" w:type="dxa"/>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13º SALÁRIO</w:t>
            </w:r>
          </w:p>
        </w:tc>
        <w:tc>
          <w:tcPr>
            <w:tcW w:w="24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não localizada na decisão</w:t>
            </w:r>
          </w:p>
        </w:tc>
        <w:tc>
          <w:tcPr>
            <w:tcW w:w="2400" w:type="dxa"/>
            <w:tcBorders>
              <w:top w:val="single" w:sz="4" w:color="D3D3D3"/>
              <w:left w:val="single" w:sz="4" w:color="D3D3D3"/>
              <w:bottom w:val="single" w:sz="4" w:color="D3D3D3"/>
              <w:right w:val="single" w:sz="4" w:color="D3D3D3"/>
            </w:tcBorders>
          </w:tcPr>
          <w:p>
            <w:pPr>
              <w:spacing w:after="0"/>
            </w:pPr>
            <w:r>
              <w:rPr>
                <w:sz w:val="18"/>
                <w:szCs w:val="18"/>
                <w:rFonts w:ascii="Calibri" w:hAnsi="Calibri"/>
              </w:rPr>
              <w:t xml:space="preserve">R$ 309.29</w:t>
            </w:r>
          </w:p>
        </w:tc>
        <w:tc>
          <w:tcPr>
            <w:tcW w:w="1400" w:type="dxa"/>
            <w:shd w:val="clear" w:color="auto" w:fill="FBECEC"/>
            <w:tcBorders>
              <w:top w:val="single" w:sz="4" w:color="D3D3D3"/>
              <w:left w:val="single" w:sz="4" w:color="D3D3D3"/>
              <w:bottom w:val="single" w:sz="4" w:color="D3D3D3"/>
              <w:right w:val="single" w:sz="4" w:color="D3D3D3"/>
            </w:tcBorders>
          </w:tcPr>
          <w:p>
            <w:pPr>
              <w:spacing w:after="0"/>
            </w:pPr>
            <w:r>
              <w:rPr>
                <w:b/>
                <w:sz w:val="18"/>
                <w:szCs w:val="18"/>
                <w:rFonts w:ascii="Calibri" w:hAnsi="Calibri"/>
              </w:rPr>
              <w:t xml:space="preserve">Sem deferimento</w:t>
            </w:r>
          </w:p>
        </w:tc>
      </w:tr>
    </w:tbl>
    <w:p>
      <w:pPr>
        <w:spacing w:after="120"/>
      </w:pPr>
      <w:r>
        <w:rPr>
          <w:sz w:val="20"/>
          <w:szCs w:val="20"/>
          <w:rFonts w:ascii="Calibri" w:hAnsi="Calibri"/>
        </w:rPr>
        <w:t xml:space="preserve"/>
      </w:r>
    </w:p>
    <w:p>
      <w:pPr>
        <w:spacing w:after="120" w:before="240"/>
      </w:pPr>
      <w:r>
        <w:rPr>
          <w:b/>
          <w:color w:val="16213E"/>
          <w:sz w:val="28"/>
          <w:szCs w:val="28"/>
          <w:rFonts w:ascii="Calibri" w:hAnsi="Calibri"/>
        </w:rPr>
        <w:t xml:space="preserve">5. Conclusão</w:t>
      </w:r>
    </w:p>
    <w:p>
      <w:pPr>
        <w:jc w:val="both"/>
        <w:spacing w:after="120"/>
      </w:pPr>
      <w:r>
        <w:rPr>
          <w:sz w:val="19"/>
          <w:szCs w:val="19"/>
          <w:rFonts w:ascii="Calibri" w:hAnsi="Calibri"/>
        </w:rPr>
        <w:t xml:space="preserve">Restam impugnados (i) o divisor; (ii) o índice de correção; (iii) a ausência de dedução.</w:t>
      </w:r>
    </w:p>
    <w:p>
      <w:pPr>
        <w:spacing w:after="200"/>
      </w:pPr>
      <w:r>
        <w:rPr>
          <w:sz w:val="20"/>
          <w:szCs w:val="20"/>
          <w:rFonts w:ascii="Calibri" w:hAnsi="Calibri"/>
        </w:rPr>
        <w:t xml:space="preserve"/>
      </w:r>
    </w:p>
    <w:p>
      <w:pPr>
        <w:spacing w:after="120"/>
      </w:pPr>
      <w:r>
        <w:rPr>
          <w:i/>
          <w:color w:val="8A5A00"/>
          <w:sz w:val="17"/>
          <w:szCs w:val="17"/>
          <w:rFonts w:ascii="Calibri" w:hAnsi="Calibri"/>
        </w:rPr>
        <w:t xml:space="preserve">Documento elaborado a partir da leitura das decisões e do cálculo apresentado. Os pontos assinalados como "conferir" dependem de confirmação nos autos.</w:t>
      </w:r>
    </w:p>
    <w:p>
      <w:pPr>
        <w:jc w:val="center"/>
        <w:spacing w:after="120"/>
      </w:pPr>
      <w:r>
        <w:rPr>
          <w:color w:val="5A6472"/>
          <w:sz w:val="16"/>
          <w:szCs w:val="16"/>
          <w:rFonts w:ascii="Calibri" w:hAnsi="Calibri"/>
        </w:rPr>
        <w:t xml:space="preserve">FazAI Tech · Cálculos Judiciais Trabalhistas · fazai.tech</w:t>
      </w:r>
    </w:p>
    <w:sectPr>
      <w:pgSz w:w="11906" w:h="16838"/>
      <w:pgMar w:top="1000" w:right="1000" w:bottom="1000" w:left="1000" w:header="708" w:footer="708" w:gutter="0"/>
    </w:sectPr>
  </w:body>
</w:document>
</file>

<file path=word/numbering.xml><?xml version="1.0" encoding="utf-8"?>
<w:numbering xmlns:w="http://schemas.openxmlformats.org/wordprocessingml/2006/main">
  <w:abstractNum w:abstractNumId="0">
    <w:lvl w:ilvl="0">
      <w:numFmt w:val="bullet"/>
      <w:lvlText w:val="•"/>
      <w:pPr>
        <w:ind w:left="360" w:hanging="360"/>
      </w:pPr>
    </w:lvl>
  </w:abstractNum>
  <w:num w:numId="1">
    <w:abstractNumId w:val="0"/>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