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Planejamento das atividades do estabelecimento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Métricas relacionadas ao público alvo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808080"/>
        </w:rPr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Visão macro da situação financeira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YoBcf3YuFaD3fcZoORzftlkRQ==">AMUW2mX9afVBi9QBroukrbgK3zlM039o7WCiehJPPiA7502ZqOY3ZLS543LFZxbSMMDG1VPaCt09+ponbyU8u7PhJKLYhLBIQ6Oa794k5uqNE0wTbYN0npu/7n494NPvOdy2L9kerjQg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