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fklu6uihtqt4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heading=h.3odcaowqr5jq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Planejamento das atividades do estabelecimento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Métricas direcionadas ao público alvo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Facilidade para organizar campanhas de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5265"/>
        <w:gridCol w:w="945"/>
        <w:gridCol w:w="945"/>
        <w:gridCol w:w="945"/>
        <w:tblGridChange w:id="0">
          <w:tblGrid>
            <w:gridCol w:w="315"/>
            <w:gridCol w:w="5265"/>
            <w:gridCol w:w="945"/>
            <w:gridCol w:w="945"/>
            <w:gridCol w:w="9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 (cliente final)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pelo tipo de cliente (urbano, esportista, ...)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Sumário com informações do perfil Strava x perfil cliente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/>
      </w:pPr>
      <w:bookmarkStart w:colFirst="0" w:colLast="0" w:name="_heading=h.lxmeylfj5oxw" w:id="4"/>
      <w:bookmarkEnd w:id="4"/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u/hCNblAYs/lECTlEqQWEkqJg==">AMUW2mXqPfYbRkWpsYKYJK7U/Nmw6fwWKnNuwEsu/3NibY01+rIQMgGMcXVLMOSlGbm6H6TcTLF4A0JBXkh0FrIExPlVmv3/sSW6fpnstcUkcTP5hdlqK4Matd7iJG3tsIkQ1BsULLEYwLCzG8BpH3MbY/RRyqy5MAeMyBr2EiIMcZ0zTCwdMMGtCg0Ma58oIVJhWBml9oPw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