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Usuários e Outros Stakeholders</w:t>
      </w:r>
    </w:p>
    <w:p w:rsidR="00000000" w:rsidDel="00000000" w:rsidP="00000000" w:rsidRDefault="00000000" w:rsidRPr="00000000" w14:paraId="00000002">
      <w:pPr>
        <w:pStyle w:val="Subtitle"/>
        <w:rPr/>
      </w:pPr>
      <w:r w:rsidDel="00000000" w:rsidR="00000000" w:rsidRPr="00000000">
        <w:rPr>
          <w:rtl w:val="0"/>
        </w:rPr>
        <w:t xml:space="preserve">ByteAByte</w:t>
      </w:r>
    </w:p>
    <w:tbl>
      <w:tblPr>
        <w:tblStyle w:val="Table1"/>
        <w:tblW w:w="9608.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1470"/>
        <w:gridCol w:w="3675"/>
        <w:gridCol w:w="1875"/>
        <w:tblGridChange w:id="0">
          <w:tblGrid>
            <w:gridCol w:w="2588"/>
            <w:gridCol w:w="1470"/>
            <w:gridCol w:w="3675"/>
            <w:gridCol w:w="187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hyperlink r:id="rId7">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0B">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hyperlink r:id="rId9">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1B">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1D">
      <w:pPr>
        <w:pStyle w:val="Subtitle"/>
        <w:rPr/>
      </w:pPr>
      <w:r w:rsidDel="00000000" w:rsidR="00000000" w:rsidRPr="00000000">
        <w:rPr>
          <w:rtl w:val="0"/>
        </w:rPr>
      </w:r>
    </w:p>
    <w:tbl>
      <w:tblPr>
        <w:tblStyle w:val="Table2"/>
        <w:tblW w:w="9639.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3"/>
        <w:tblW w:w="9600.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000"/>
        <w:gridCol w:w="6600"/>
        <w:tblGridChange w:id="0">
          <w:tblGrid>
            <w:gridCol w:w="3000"/>
            <w:gridCol w:w="6600"/>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Usuários</w:t>
            </w:r>
          </w:p>
        </w:tc>
        <w:tc>
          <w:tcPr>
            <w:shd w:fill="f9cb9c"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Sócios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Teriam acesso a todo o sistema sem qualquer restrição, seriam responsáveis por publicarem os eventos e campanhas no micro blog, tirariam dúvidas via WhatsApp caso solicitado. Teriam controle dos dados financeiros, estatísticos e de produção, poderiam reorganizar o PCP para os trabalhos diários seguindo o próprio padrão de prioridades.</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Colaboradores Financeiros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Ter acesso ao fluxo de caixa e a relatórios financeiros. Bem como na visualização da dashboard informativa e acesso às ordens de serviço. Controlaria a entrada e saída dos materiais em estoque em conjunto com os colaboradores técnicos, e na compra de novos materiais. </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Colaboradores Técnicos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Reestruturação da organização das tarefas no PCP dinâmico e demandas, podem ter a visualização das ordens de serviços, das informações das bikes dos clientes e ajudaria no controle das entradas e saídas de materiais do estoque em conjunto com os colaboradores financeiros.</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Seria possível efetuar o seu cadastro no sistema com informações básicas como: nome, senha, e-mail, telefone para contato, endereço, entre outros, e da mesma forma cadastrar as bikes que possui ou que vai levar para algum serviço, com o modelo, marca, ano, entre outras informações pertinentes. Teria acesso a tabela de serviços e preços da loja, além de um ícone flutuante do WhatsApp para caso queira mandar uma mensagem perguntando alguma coisa, ou querendo fazer uma cotação de vários serviços, ou mesmo tirar dúvidas sobre eles. O cliente teria acesso também a um micro blog onde os sócios podem postar a respeito de campanhas, eventos, promoções ou qualquer ação que a loja esteja realizando, e a um fórum para a troca de informações com outros ciclistas entusiastas. Poderão também deixar um feedback, como se fosse um depoimento sobre o que achou sobre o serviço.</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4"/>
        <w:tblW w:w="9600.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05"/>
        <w:gridCol w:w="6795"/>
        <w:tblGridChange w:id="0">
          <w:tblGrid>
            <w:gridCol w:w="2805"/>
            <w:gridCol w:w="6795"/>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Outros Stakeholders</w:t>
            </w:r>
          </w:p>
        </w:tc>
        <w:tc>
          <w:tcPr>
            <w:shd w:fill="f9cb9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bookmarkStart w:colFirst="0" w:colLast="0" w:name="_heading=h.30j0zll" w:id="1"/>
            <w:bookmarkEnd w:id="1"/>
            <w:r w:rsidDel="00000000" w:rsidR="00000000" w:rsidRPr="00000000">
              <w:rPr>
                <w:rtl w:val="0"/>
              </w:rPr>
              <w:t xml:space="preserve">Sócios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Terão um controle maior dos processos realizados e das partes financeira, bem como indicativos de como anda o negócio, além de terem uma rede uma rede própria de comunicação com seus clientes, por meio de um miniblog e um fórum.</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Fornecedores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Padronização de solicitação de matéria prima e peças, eles poderão receber ordens de compra pelo sistema.</w:t>
            </w:r>
          </w:p>
        </w:tc>
      </w:tr>
      <w:t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Terão acesso rápido e fácil às informações que precisam sobre os serviços da loja, bem como um canal de comunicação e troca de informações direto com a loja.</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ByteAByte</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bookmarkStart w:colFirst="0" w:colLast="0" w:name="_heading=h.1fob9te" w:id="2"/>
            <w:bookmarkEnd w:id="2"/>
            <w:r w:rsidDel="00000000" w:rsidR="00000000" w:rsidRPr="00000000">
              <w:rPr>
                <w:rtl w:val="0"/>
              </w:rPr>
              <w:t xml:space="preserve">Responsáveis pelo desenvolvimento e manutenção do sistema que ajudará a StudioCiclo em suas rotinas do dia a dia.</w:t>
            </w:r>
          </w:p>
        </w:tc>
      </w:tr>
    </w:tbl>
    <w:p w:rsidR="00000000" w:rsidDel="00000000" w:rsidP="00000000" w:rsidRDefault="00000000" w:rsidRPr="00000000" w14:paraId="00000038">
      <w:pPr>
        <w:rPr/>
      </w:pPr>
      <w:r w:rsidDel="00000000" w:rsidR="00000000" w:rsidRPr="00000000">
        <w:rPr>
          <w:rtl w:val="0"/>
        </w:rPr>
      </w:r>
    </w:p>
    <w:sectPr>
      <w:footerReference r:id="rId11"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color w:val="000000"/>
        <w:rtl w:val="0"/>
      </w:rPr>
      <w:t xml:space="preserve">Usuários e Outros Stakeholders OPE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917735"/>
    <w:pPr>
      <w:tabs>
        <w:tab w:val="center" w:pos="4252"/>
        <w:tab w:val="right" w:pos="8504"/>
      </w:tabs>
      <w:spacing w:line="240" w:lineRule="auto"/>
    </w:pPr>
  </w:style>
  <w:style w:type="character" w:styleId="CabealhoChar" w:customStyle="1">
    <w:name w:val="Cabeçalho Char"/>
    <w:basedOn w:val="Fontepargpadro"/>
    <w:link w:val="Cabealho"/>
    <w:uiPriority w:val="99"/>
    <w:rsid w:val="00917735"/>
  </w:style>
  <w:style w:type="paragraph" w:styleId="Rodap">
    <w:name w:val="footer"/>
    <w:basedOn w:val="Normal"/>
    <w:link w:val="RodapChar"/>
    <w:uiPriority w:val="99"/>
    <w:unhideWhenUsed w:val="1"/>
    <w:rsid w:val="00917735"/>
    <w:pPr>
      <w:tabs>
        <w:tab w:val="center" w:pos="4252"/>
        <w:tab w:val="right" w:pos="8504"/>
      </w:tabs>
      <w:spacing w:line="240" w:lineRule="auto"/>
    </w:pPr>
  </w:style>
  <w:style w:type="character" w:styleId="RodapChar" w:customStyle="1">
    <w:name w:val="Rodapé Char"/>
    <w:basedOn w:val="Fontepargpadro"/>
    <w:link w:val="Rodap"/>
    <w:uiPriority w:val="99"/>
    <w:rsid w:val="00917735"/>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victor.sanches@aluno.faculdadeimpacta.com.br" TargetMode="External"/><Relationship Id="rId9" Type="http://schemas.openxmlformats.org/officeDocument/2006/relationships/hyperlink" Target="mailto:hadnan.basilio@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ilherme.asantos@aluno.faculdadeimpacta.com.br" TargetMode="External"/><Relationship Id="rId8" Type="http://schemas.openxmlformats.org/officeDocument/2006/relationships/hyperlink" Target="mailto:guilherme.dalbuquerque@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xUjX9jSQj5ejGNsonSgsDpzFxA==">AMUW2mXlGlArInicoTyH+gucPe4MYGhHqVo4aFPlicLIYO+N8h+4Q6NlQqBhpXw0dStEE9NA+xQMT+fPNXelfjyQodG+5ZaEuL7A0Kx2rN5QQVHn6Vf1UDRXaDdODPV0OxtpwLxiWrPslnkyHAzA8YKt5bPSOZU/zg==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2019-10-07T14:27:00Z</dcterms:created>
</cp:coreProperties>
</file>